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B10" w:rsidRDefault="00F97B10" w:rsidP="00F97B10">
      <w:pPr>
        <w:pStyle w:val="Title"/>
        <w:rPr>
          <w:lang w:val="fr-FR"/>
        </w:rPr>
      </w:pPr>
    </w:p>
    <w:p w:rsidR="00F97B10" w:rsidRDefault="00F97B10" w:rsidP="00F97B10">
      <w:pPr>
        <w:pStyle w:val="Title"/>
        <w:rPr>
          <w:lang w:val="fr-FR"/>
        </w:rPr>
      </w:pPr>
    </w:p>
    <w:p w:rsidR="00F97B10" w:rsidRDefault="00F97B10" w:rsidP="00F97B10">
      <w:pPr>
        <w:pStyle w:val="Title"/>
        <w:rPr>
          <w:lang w:val="fr-FR"/>
        </w:rPr>
      </w:pPr>
    </w:p>
    <w:p w:rsidR="00F97B10" w:rsidRDefault="00F97B10" w:rsidP="00F97B10">
      <w:pPr>
        <w:pStyle w:val="Title"/>
        <w:rPr>
          <w:lang w:val="fr-FR"/>
        </w:rPr>
      </w:pPr>
    </w:p>
    <w:p w:rsidR="0042661A" w:rsidRPr="00B43216" w:rsidRDefault="00C754B0" w:rsidP="00F97B10">
      <w:pPr>
        <w:pStyle w:val="Title"/>
        <w:rPr>
          <w:lang w:val="en-GB"/>
        </w:rPr>
      </w:pPr>
      <w:r>
        <w:rPr>
          <w:lang w:val="en-GB"/>
        </w:rPr>
        <w:t>guide to the revised data protection regulation (ec)</w:t>
      </w:r>
      <w:r>
        <w:rPr>
          <w:rStyle w:val="FootnoteReference"/>
          <w:lang w:val="en-GB"/>
        </w:rPr>
        <w:footnoteReference w:id="1"/>
      </w:r>
    </w:p>
    <w:p w:rsidR="00F97B10" w:rsidRPr="00B43216" w:rsidRDefault="00C754B0" w:rsidP="00F97B10">
      <w:pPr>
        <w:pStyle w:val="Subtitle"/>
        <w:rPr>
          <w:lang w:val="en-GB"/>
        </w:rPr>
      </w:pPr>
      <w:r>
        <w:rPr>
          <w:lang w:val="en-GB"/>
        </w:rPr>
        <w:t xml:space="preserve">Version </w:t>
      </w:r>
      <w:r w:rsidR="002D5EC3">
        <w:rPr>
          <w:lang w:val="en-GB"/>
        </w:rPr>
        <w:t>2</w:t>
      </w:r>
      <w:r>
        <w:rPr>
          <w:lang w:val="en-GB"/>
        </w:rPr>
        <w:t xml:space="preserve">.0 of </w:t>
      </w:r>
      <w:r w:rsidR="002D5EC3">
        <w:rPr>
          <w:lang w:val="en-GB"/>
        </w:rPr>
        <w:t>11</w:t>
      </w:r>
      <w:r>
        <w:rPr>
          <w:lang w:val="en-GB"/>
        </w:rPr>
        <w:t>/</w:t>
      </w:r>
      <w:r w:rsidR="002D5EC3">
        <w:rPr>
          <w:lang w:val="en-GB"/>
        </w:rPr>
        <w:t>12</w:t>
      </w:r>
      <w:r>
        <w:rPr>
          <w:lang w:val="en-GB"/>
        </w:rPr>
        <w:t>/2018</w:t>
      </w:r>
    </w:p>
    <w:sdt>
      <w:sdtPr>
        <w:alias w:val="Author"/>
        <w:tag w:val=""/>
        <w:id w:val="-551312684"/>
        <w:placeholder>
          <w:docPart w:val="7DC9BE3667644D078B4D4444F2878D33"/>
        </w:placeholder>
        <w:dataBinding w:prefixMappings="xmlns:ns0='http://purl.org/dc/elements/1.1/' xmlns:ns1='http://schemas.openxmlformats.org/package/2006/metadata/core-properties' " w:xpath="/ns1:coreProperties[1]/ns0:creator[1]" w:storeItemID="{6C3C8BC8-F283-45AE-878A-BAB7291924A1}"/>
        <w:text/>
      </w:sdtPr>
      <w:sdtEndPr/>
      <w:sdtContent>
        <w:p w:rsidR="00F97B10" w:rsidRPr="00B43216" w:rsidRDefault="00C754B0" w:rsidP="00F97B10">
          <w:pPr>
            <w:jc w:val="center"/>
          </w:pPr>
          <w:r>
            <w:t>Mariya KOLEVA</w:t>
          </w:r>
        </w:p>
      </w:sdtContent>
    </w:sdt>
    <w:p w:rsidR="00F97B10" w:rsidRDefault="00F97B10" w:rsidP="00F97B10"/>
    <w:p w:rsidR="00C754B0" w:rsidRPr="00B43216" w:rsidRDefault="00C754B0" w:rsidP="00C754B0">
      <w:pPr>
        <w:jc w:val="center"/>
      </w:pPr>
      <w:r>
        <w:rPr>
          <w:noProof/>
          <w:sz w:val="20"/>
          <w:szCs w:val="20"/>
          <w:lang w:val="fr-FR" w:eastAsia="fr-FR"/>
        </w:rPr>
        <w:drawing>
          <wp:inline distT="0" distB="0" distL="0" distR="0" wp14:anchorId="46A9F1C2" wp14:editId="00AC7845">
            <wp:extent cx="2447925" cy="244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6437" cy="2453953"/>
                    </a:xfrm>
                    <a:prstGeom prst="rect">
                      <a:avLst/>
                    </a:prstGeom>
                    <a:noFill/>
                    <a:ln>
                      <a:noFill/>
                    </a:ln>
                  </pic:spPr>
                </pic:pic>
              </a:graphicData>
            </a:graphic>
          </wp:inline>
        </w:drawing>
      </w:r>
    </w:p>
    <w:p w:rsidR="00F97B10" w:rsidRDefault="00F97B10" w:rsidP="00F97B10">
      <w:pPr>
        <w:pStyle w:val="TOCHeading"/>
      </w:pPr>
      <w:r>
        <w:lastRenderedPageBreak/>
        <w:t>Contents</w:t>
      </w:r>
    </w:p>
    <w:p w:rsidR="00E15333" w:rsidRDefault="00F97B10">
      <w:pPr>
        <w:pStyle w:val="TOC1"/>
        <w:tabs>
          <w:tab w:val="left" w:pos="660"/>
          <w:tab w:val="right" w:leader="dot" w:pos="8778"/>
        </w:tabs>
        <w:rPr>
          <w:rFonts w:asciiTheme="minorHAnsi" w:eastAsiaTheme="minorEastAsia" w:hAnsiTheme="minorHAnsi" w:cstheme="minorBidi"/>
          <w:b w:val="0"/>
          <w:bCs w:val="0"/>
          <w:noProof/>
          <w:spacing w:val="0"/>
          <w:sz w:val="22"/>
          <w:szCs w:val="22"/>
          <w:lang w:val="fr-FR" w:eastAsia="fr-FR"/>
        </w:rPr>
      </w:pPr>
      <w:r>
        <w:rPr>
          <w:lang w:val="en-US"/>
        </w:rPr>
        <w:fldChar w:fldCharType="begin"/>
      </w:r>
      <w:r>
        <w:rPr>
          <w:lang w:val="en-US"/>
        </w:rPr>
        <w:instrText xml:space="preserve"> TOC \o "1-2" \h \z \u </w:instrText>
      </w:r>
      <w:r>
        <w:rPr>
          <w:lang w:val="en-US"/>
        </w:rPr>
        <w:fldChar w:fldCharType="separate"/>
      </w:r>
      <w:hyperlink w:anchor="_Toc524354223" w:history="1">
        <w:r w:rsidR="00E15333" w:rsidRPr="00C619C3">
          <w:rPr>
            <w:rStyle w:val="Hyperlink"/>
            <w:noProof/>
          </w:rPr>
          <w:t>1.</w:t>
        </w:r>
        <w:r w:rsidR="00E15333">
          <w:rPr>
            <w:rFonts w:asciiTheme="minorHAnsi" w:eastAsiaTheme="minorEastAsia" w:hAnsiTheme="minorHAnsi" w:cstheme="minorBidi"/>
            <w:b w:val="0"/>
            <w:bCs w:val="0"/>
            <w:noProof/>
            <w:spacing w:val="0"/>
            <w:sz w:val="22"/>
            <w:szCs w:val="22"/>
            <w:lang w:val="fr-FR" w:eastAsia="fr-FR"/>
          </w:rPr>
          <w:tab/>
        </w:r>
        <w:r w:rsidR="00E15333" w:rsidRPr="00C619C3">
          <w:rPr>
            <w:rStyle w:val="Hyperlink"/>
            <w:noProof/>
          </w:rPr>
          <w:t>Introduction</w:t>
        </w:r>
        <w:r w:rsidR="00E15333">
          <w:rPr>
            <w:noProof/>
            <w:webHidden/>
          </w:rPr>
          <w:tab/>
        </w:r>
        <w:r w:rsidR="00E15333">
          <w:rPr>
            <w:noProof/>
            <w:webHidden/>
          </w:rPr>
          <w:fldChar w:fldCharType="begin"/>
        </w:r>
        <w:r w:rsidR="00E15333">
          <w:rPr>
            <w:noProof/>
            <w:webHidden/>
          </w:rPr>
          <w:instrText xml:space="preserve"> PAGEREF _Toc524354223 \h </w:instrText>
        </w:r>
        <w:r w:rsidR="00E15333">
          <w:rPr>
            <w:noProof/>
            <w:webHidden/>
          </w:rPr>
        </w:r>
        <w:r w:rsidR="00E15333">
          <w:rPr>
            <w:noProof/>
            <w:webHidden/>
          </w:rPr>
          <w:fldChar w:fldCharType="separate"/>
        </w:r>
        <w:r w:rsidR="00E15333">
          <w:rPr>
            <w:noProof/>
            <w:webHidden/>
          </w:rPr>
          <w:t>4</w:t>
        </w:r>
        <w:r w:rsidR="00E15333">
          <w:rPr>
            <w:noProof/>
            <w:webHidden/>
          </w:rPr>
          <w:fldChar w:fldCharType="end"/>
        </w:r>
      </w:hyperlink>
    </w:p>
    <w:p w:rsidR="00E15333" w:rsidRDefault="009102CE">
      <w:pPr>
        <w:pStyle w:val="TOC1"/>
        <w:tabs>
          <w:tab w:val="left" w:pos="660"/>
          <w:tab w:val="right" w:leader="dot" w:pos="8778"/>
        </w:tabs>
        <w:rPr>
          <w:rFonts w:asciiTheme="minorHAnsi" w:eastAsiaTheme="minorEastAsia" w:hAnsiTheme="minorHAnsi" w:cstheme="minorBidi"/>
          <w:b w:val="0"/>
          <w:bCs w:val="0"/>
          <w:noProof/>
          <w:spacing w:val="0"/>
          <w:sz w:val="22"/>
          <w:szCs w:val="22"/>
          <w:lang w:val="fr-FR" w:eastAsia="fr-FR"/>
        </w:rPr>
      </w:pPr>
      <w:hyperlink w:anchor="_Toc524354224" w:history="1">
        <w:r w:rsidR="00E15333" w:rsidRPr="00C619C3">
          <w:rPr>
            <w:rStyle w:val="Hyperlink"/>
            <w:noProof/>
          </w:rPr>
          <w:t>2.</w:t>
        </w:r>
        <w:r w:rsidR="00E15333">
          <w:rPr>
            <w:rFonts w:asciiTheme="minorHAnsi" w:eastAsiaTheme="minorEastAsia" w:hAnsiTheme="minorHAnsi" w:cstheme="minorBidi"/>
            <w:b w:val="0"/>
            <w:bCs w:val="0"/>
            <w:noProof/>
            <w:spacing w:val="0"/>
            <w:sz w:val="22"/>
            <w:szCs w:val="22"/>
            <w:lang w:val="fr-FR" w:eastAsia="fr-FR"/>
          </w:rPr>
          <w:tab/>
        </w:r>
        <w:r w:rsidR="00E15333" w:rsidRPr="00C619C3">
          <w:rPr>
            <w:rStyle w:val="Hyperlink"/>
            <w:noProof/>
          </w:rPr>
          <w:t>The proposal at glance</w:t>
        </w:r>
        <w:r w:rsidR="00E15333">
          <w:rPr>
            <w:noProof/>
            <w:webHidden/>
          </w:rPr>
          <w:tab/>
        </w:r>
        <w:r w:rsidR="00E15333">
          <w:rPr>
            <w:noProof/>
            <w:webHidden/>
          </w:rPr>
          <w:fldChar w:fldCharType="begin"/>
        </w:r>
        <w:r w:rsidR="00E15333">
          <w:rPr>
            <w:noProof/>
            <w:webHidden/>
          </w:rPr>
          <w:instrText xml:space="preserve"> PAGEREF _Toc524354224 \h </w:instrText>
        </w:r>
        <w:r w:rsidR="00E15333">
          <w:rPr>
            <w:noProof/>
            <w:webHidden/>
          </w:rPr>
        </w:r>
        <w:r w:rsidR="00E15333">
          <w:rPr>
            <w:noProof/>
            <w:webHidden/>
          </w:rPr>
          <w:fldChar w:fldCharType="separate"/>
        </w:r>
        <w:r w:rsidR="00E15333">
          <w:rPr>
            <w:noProof/>
            <w:webHidden/>
          </w:rPr>
          <w:t>4</w:t>
        </w:r>
        <w:r w:rsidR="00E15333">
          <w:rPr>
            <w:noProof/>
            <w:webHidden/>
          </w:rPr>
          <w:fldChar w:fldCharType="end"/>
        </w:r>
      </w:hyperlink>
    </w:p>
    <w:p w:rsidR="00E15333" w:rsidRDefault="009102CE">
      <w:pPr>
        <w:pStyle w:val="TOC1"/>
        <w:tabs>
          <w:tab w:val="left" w:pos="660"/>
          <w:tab w:val="right" w:leader="dot" w:pos="8778"/>
        </w:tabs>
        <w:rPr>
          <w:rFonts w:asciiTheme="minorHAnsi" w:eastAsiaTheme="minorEastAsia" w:hAnsiTheme="minorHAnsi" w:cstheme="minorBidi"/>
          <w:b w:val="0"/>
          <w:bCs w:val="0"/>
          <w:noProof/>
          <w:spacing w:val="0"/>
          <w:sz w:val="22"/>
          <w:szCs w:val="22"/>
          <w:lang w:val="fr-FR" w:eastAsia="fr-FR"/>
        </w:rPr>
      </w:pPr>
      <w:hyperlink w:anchor="_Toc524354225" w:history="1">
        <w:r w:rsidR="00E15333" w:rsidRPr="00C619C3">
          <w:rPr>
            <w:rStyle w:val="Hyperlink"/>
            <w:noProof/>
          </w:rPr>
          <w:t>3.</w:t>
        </w:r>
        <w:r w:rsidR="00E15333">
          <w:rPr>
            <w:rFonts w:asciiTheme="minorHAnsi" w:eastAsiaTheme="minorEastAsia" w:hAnsiTheme="minorHAnsi" w:cstheme="minorBidi"/>
            <w:b w:val="0"/>
            <w:bCs w:val="0"/>
            <w:noProof/>
            <w:spacing w:val="0"/>
            <w:sz w:val="22"/>
            <w:szCs w:val="22"/>
            <w:lang w:val="fr-FR" w:eastAsia="fr-FR"/>
          </w:rPr>
          <w:tab/>
        </w:r>
        <w:r w:rsidR="00E15333" w:rsidRPr="00C619C3">
          <w:rPr>
            <w:rStyle w:val="Hyperlink"/>
            <w:noProof/>
          </w:rPr>
          <w:t>Concepts and definitions</w:t>
        </w:r>
        <w:r w:rsidR="00E15333">
          <w:rPr>
            <w:noProof/>
            <w:webHidden/>
          </w:rPr>
          <w:tab/>
        </w:r>
        <w:r w:rsidR="00E15333">
          <w:rPr>
            <w:noProof/>
            <w:webHidden/>
          </w:rPr>
          <w:fldChar w:fldCharType="begin"/>
        </w:r>
        <w:r w:rsidR="00E15333">
          <w:rPr>
            <w:noProof/>
            <w:webHidden/>
          </w:rPr>
          <w:instrText xml:space="preserve"> PAGEREF _Toc524354225 \h </w:instrText>
        </w:r>
        <w:r w:rsidR="00E15333">
          <w:rPr>
            <w:noProof/>
            <w:webHidden/>
          </w:rPr>
        </w:r>
        <w:r w:rsidR="00E15333">
          <w:rPr>
            <w:noProof/>
            <w:webHidden/>
          </w:rPr>
          <w:fldChar w:fldCharType="separate"/>
        </w:r>
        <w:r w:rsidR="00E15333">
          <w:rPr>
            <w:noProof/>
            <w:webHidden/>
          </w:rPr>
          <w:t>5</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26" w:history="1">
        <w:r w:rsidR="00E15333" w:rsidRPr="00C619C3">
          <w:rPr>
            <w:rStyle w:val="Hyperlink"/>
            <w:noProof/>
          </w:rPr>
          <w:t>3.1.</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Principles</w:t>
        </w:r>
        <w:r w:rsidR="00E15333">
          <w:rPr>
            <w:noProof/>
            <w:webHidden/>
          </w:rPr>
          <w:tab/>
        </w:r>
        <w:r w:rsidR="00E15333">
          <w:rPr>
            <w:noProof/>
            <w:webHidden/>
          </w:rPr>
          <w:fldChar w:fldCharType="begin"/>
        </w:r>
        <w:r w:rsidR="00E15333">
          <w:rPr>
            <w:noProof/>
            <w:webHidden/>
          </w:rPr>
          <w:instrText xml:space="preserve"> PAGEREF _Toc524354226 \h </w:instrText>
        </w:r>
        <w:r w:rsidR="00E15333">
          <w:rPr>
            <w:noProof/>
            <w:webHidden/>
          </w:rPr>
        </w:r>
        <w:r w:rsidR="00E15333">
          <w:rPr>
            <w:noProof/>
            <w:webHidden/>
          </w:rPr>
          <w:fldChar w:fldCharType="separate"/>
        </w:r>
        <w:r w:rsidR="00E15333">
          <w:rPr>
            <w:noProof/>
            <w:webHidden/>
          </w:rPr>
          <w:t>5</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27" w:history="1">
        <w:r w:rsidR="00E15333" w:rsidRPr="00C619C3">
          <w:rPr>
            <w:rStyle w:val="Hyperlink"/>
            <w:noProof/>
          </w:rPr>
          <w:t>3.2.</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Processing for another compatible purpose (Article 6)</w:t>
        </w:r>
        <w:r w:rsidR="00E15333">
          <w:rPr>
            <w:noProof/>
            <w:webHidden/>
          </w:rPr>
          <w:tab/>
        </w:r>
        <w:r w:rsidR="00E15333">
          <w:rPr>
            <w:noProof/>
            <w:webHidden/>
          </w:rPr>
          <w:fldChar w:fldCharType="begin"/>
        </w:r>
        <w:r w:rsidR="00E15333">
          <w:rPr>
            <w:noProof/>
            <w:webHidden/>
          </w:rPr>
          <w:instrText xml:space="preserve"> PAGEREF _Toc524354227 \h </w:instrText>
        </w:r>
        <w:r w:rsidR="00E15333">
          <w:rPr>
            <w:noProof/>
            <w:webHidden/>
          </w:rPr>
        </w:r>
        <w:r w:rsidR="00E15333">
          <w:rPr>
            <w:noProof/>
            <w:webHidden/>
          </w:rPr>
          <w:fldChar w:fldCharType="separate"/>
        </w:r>
        <w:r w:rsidR="00E15333">
          <w:rPr>
            <w:noProof/>
            <w:webHidden/>
          </w:rPr>
          <w:t>5</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28" w:history="1">
        <w:r w:rsidR="00E15333" w:rsidRPr="00C619C3">
          <w:rPr>
            <w:rStyle w:val="Hyperlink"/>
            <w:noProof/>
          </w:rPr>
          <w:t>3.3.</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Special categories of data (Article 10)</w:t>
        </w:r>
        <w:r w:rsidR="00E15333">
          <w:rPr>
            <w:noProof/>
            <w:webHidden/>
          </w:rPr>
          <w:tab/>
        </w:r>
        <w:r w:rsidR="00E15333">
          <w:rPr>
            <w:noProof/>
            <w:webHidden/>
          </w:rPr>
          <w:fldChar w:fldCharType="begin"/>
        </w:r>
        <w:r w:rsidR="00E15333">
          <w:rPr>
            <w:noProof/>
            <w:webHidden/>
          </w:rPr>
          <w:instrText xml:space="preserve"> PAGEREF _Toc524354228 \h </w:instrText>
        </w:r>
        <w:r w:rsidR="00E15333">
          <w:rPr>
            <w:noProof/>
            <w:webHidden/>
          </w:rPr>
        </w:r>
        <w:r w:rsidR="00E15333">
          <w:rPr>
            <w:noProof/>
            <w:webHidden/>
          </w:rPr>
          <w:fldChar w:fldCharType="separate"/>
        </w:r>
        <w:r w:rsidR="00E15333">
          <w:rPr>
            <w:noProof/>
            <w:webHidden/>
          </w:rPr>
          <w:t>6</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29" w:history="1">
        <w:r w:rsidR="00E15333" w:rsidRPr="00C619C3">
          <w:rPr>
            <w:rStyle w:val="Hyperlink"/>
            <w:noProof/>
          </w:rPr>
          <w:t>3.4.</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Joint controllership (Article 28)</w:t>
        </w:r>
        <w:r w:rsidR="00E15333">
          <w:rPr>
            <w:noProof/>
            <w:webHidden/>
          </w:rPr>
          <w:tab/>
        </w:r>
        <w:r w:rsidR="00E15333">
          <w:rPr>
            <w:noProof/>
            <w:webHidden/>
          </w:rPr>
          <w:fldChar w:fldCharType="begin"/>
        </w:r>
        <w:r w:rsidR="00E15333">
          <w:rPr>
            <w:noProof/>
            <w:webHidden/>
          </w:rPr>
          <w:instrText xml:space="preserve"> PAGEREF _Toc524354229 \h </w:instrText>
        </w:r>
        <w:r w:rsidR="00E15333">
          <w:rPr>
            <w:noProof/>
            <w:webHidden/>
          </w:rPr>
        </w:r>
        <w:r w:rsidR="00E15333">
          <w:rPr>
            <w:noProof/>
            <w:webHidden/>
          </w:rPr>
          <w:fldChar w:fldCharType="separate"/>
        </w:r>
        <w:r w:rsidR="00E15333">
          <w:rPr>
            <w:noProof/>
            <w:webHidden/>
          </w:rPr>
          <w:t>6</w:t>
        </w:r>
        <w:r w:rsidR="00E15333">
          <w:rPr>
            <w:noProof/>
            <w:webHidden/>
          </w:rPr>
          <w:fldChar w:fldCharType="end"/>
        </w:r>
      </w:hyperlink>
    </w:p>
    <w:p w:rsidR="00E15333" w:rsidRDefault="009102CE">
      <w:pPr>
        <w:pStyle w:val="TOC1"/>
        <w:tabs>
          <w:tab w:val="left" w:pos="660"/>
          <w:tab w:val="right" w:leader="dot" w:pos="8778"/>
        </w:tabs>
        <w:rPr>
          <w:rFonts w:asciiTheme="minorHAnsi" w:eastAsiaTheme="minorEastAsia" w:hAnsiTheme="minorHAnsi" w:cstheme="minorBidi"/>
          <w:b w:val="0"/>
          <w:bCs w:val="0"/>
          <w:noProof/>
          <w:spacing w:val="0"/>
          <w:sz w:val="22"/>
          <w:szCs w:val="22"/>
          <w:lang w:val="fr-FR" w:eastAsia="fr-FR"/>
        </w:rPr>
      </w:pPr>
      <w:hyperlink w:anchor="_Toc524354230" w:history="1">
        <w:r w:rsidR="00E15333" w:rsidRPr="00C619C3">
          <w:rPr>
            <w:rStyle w:val="Hyperlink"/>
            <w:noProof/>
          </w:rPr>
          <w:t>4.</w:t>
        </w:r>
        <w:r w:rsidR="00E15333">
          <w:rPr>
            <w:rFonts w:asciiTheme="minorHAnsi" w:eastAsiaTheme="minorEastAsia" w:hAnsiTheme="minorHAnsi" w:cstheme="minorBidi"/>
            <w:b w:val="0"/>
            <w:bCs w:val="0"/>
            <w:noProof/>
            <w:spacing w:val="0"/>
            <w:sz w:val="22"/>
            <w:szCs w:val="22"/>
            <w:lang w:val="fr-FR" w:eastAsia="fr-FR"/>
          </w:rPr>
          <w:tab/>
        </w:r>
        <w:r w:rsidR="00E15333" w:rsidRPr="00C619C3">
          <w:rPr>
            <w:rStyle w:val="Hyperlink"/>
            <w:noProof/>
          </w:rPr>
          <w:t>Improved right for data subjects</w:t>
        </w:r>
        <w:r w:rsidR="00E15333">
          <w:rPr>
            <w:noProof/>
            <w:webHidden/>
          </w:rPr>
          <w:tab/>
        </w:r>
        <w:r w:rsidR="00E15333">
          <w:rPr>
            <w:noProof/>
            <w:webHidden/>
          </w:rPr>
          <w:fldChar w:fldCharType="begin"/>
        </w:r>
        <w:r w:rsidR="00E15333">
          <w:rPr>
            <w:noProof/>
            <w:webHidden/>
          </w:rPr>
          <w:instrText xml:space="preserve"> PAGEREF _Toc524354230 \h </w:instrText>
        </w:r>
        <w:r w:rsidR="00E15333">
          <w:rPr>
            <w:noProof/>
            <w:webHidden/>
          </w:rPr>
        </w:r>
        <w:r w:rsidR="00E15333">
          <w:rPr>
            <w:noProof/>
            <w:webHidden/>
          </w:rPr>
          <w:fldChar w:fldCharType="separate"/>
        </w:r>
        <w:r w:rsidR="00E15333">
          <w:rPr>
            <w:noProof/>
            <w:webHidden/>
          </w:rPr>
          <w:t>6</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31" w:history="1">
        <w:r w:rsidR="00E15333" w:rsidRPr="00C619C3">
          <w:rPr>
            <w:rStyle w:val="Hyperlink"/>
            <w:noProof/>
          </w:rPr>
          <w:t>4.1.</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Transparency (Article 14)</w:t>
        </w:r>
        <w:r w:rsidR="00E15333">
          <w:rPr>
            <w:noProof/>
            <w:webHidden/>
          </w:rPr>
          <w:tab/>
        </w:r>
        <w:r w:rsidR="00E15333">
          <w:rPr>
            <w:noProof/>
            <w:webHidden/>
          </w:rPr>
          <w:fldChar w:fldCharType="begin"/>
        </w:r>
        <w:r w:rsidR="00E15333">
          <w:rPr>
            <w:noProof/>
            <w:webHidden/>
          </w:rPr>
          <w:instrText xml:space="preserve"> PAGEREF _Toc524354231 \h </w:instrText>
        </w:r>
        <w:r w:rsidR="00E15333">
          <w:rPr>
            <w:noProof/>
            <w:webHidden/>
          </w:rPr>
        </w:r>
        <w:r w:rsidR="00E15333">
          <w:rPr>
            <w:noProof/>
            <w:webHidden/>
          </w:rPr>
          <w:fldChar w:fldCharType="separate"/>
        </w:r>
        <w:r w:rsidR="00E15333">
          <w:rPr>
            <w:noProof/>
            <w:webHidden/>
          </w:rPr>
          <w:t>6</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32" w:history="1">
        <w:r w:rsidR="00E15333" w:rsidRPr="00C619C3">
          <w:rPr>
            <w:rStyle w:val="Hyperlink"/>
            <w:noProof/>
          </w:rPr>
          <w:t>4.2.</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Right to erasure (‘Right to be forgotten’) (Article 19)</w:t>
        </w:r>
        <w:r w:rsidR="00E15333">
          <w:rPr>
            <w:noProof/>
            <w:webHidden/>
          </w:rPr>
          <w:tab/>
        </w:r>
        <w:r w:rsidR="00E15333">
          <w:rPr>
            <w:noProof/>
            <w:webHidden/>
          </w:rPr>
          <w:fldChar w:fldCharType="begin"/>
        </w:r>
        <w:r w:rsidR="00E15333">
          <w:rPr>
            <w:noProof/>
            <w:webHidden/>
          </w:rPr>
          <w:instrText xml:space="preserve"> PAGEREF _Toc524354232 \h </w:instrText>
        </w:r>
        <w:r w:rsidR="00E15333">
          <w:rPr>
            <w:noProof/>
            <w:webHidden/>
          </w:rPr>
        </w:r>
        <w:r w:rsidR="00E15333">
          <w:rPr>
            <w:noProof/>
            <w:webHidden/>
          </w:rPr>
          <w:fldChar w:fldCharType="separate"/>
        </w:r>
        <w:r w:rsidR="00E15333">
          <w:rPr>
            <w:noProof/>
            <w:webHidden/>
          </w:rPr>
          <w:t>6</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33" w:history="1">
        <w:r w:rsidR="00E15333" w:rsidRPr="00C619C3">
          <w:rPr>
            <w:rStyle w:val="Hyperlink"/>
            <w:noProof/>
          </w:rPr>
          <w:t>4.3.</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Right to restrict the processing of personal data (Articles 20)</w:t>
        </w:r>
        <w:r w:rsidR="00E15333">
          <w:rPr>
            <w:noProof/>
            <w:webHidden/>
          </w:rPr>
          <w:tab/>
        </w:r>
        <w:r w:rsidR="00E15333">
          <w:rPr>
            <w:noProof/>
            <w:webHidden/>
          </w:rPr>
          <w:fldChar w:fldCharType="begin"/>
        </w:r>
        <w:r w:rsidR="00E15333">
          <w:rPr>
            <w:noProof/>
            <w:webHidden/>
          </w:rPr>
          <w:instrText xml:space="preserve"> PAGEREF _Toc524354233 \h </w:instrText>
        </w:r>
        <w:r w:rsidR="00E15333">
          <w:rPr>
            <w:noProof/>
            <w:webHidden/>
          </w:rPr>
        </w:r>
        <w:r w:rsidR="00E15333">
          <w:rPr>
            <w:noProof/>
            <w:webHidden/>
          </w:rPr>
          <w:fldChar w:fldCharType="separate"/>
        </w:r>
        <w:r w:rsidR="00E15333">
          <w:rPr>
            <w:noProof/>
            <w:webHidden/>
          </w:rPr>
          <w:t>7</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34" w:history="1">
        <w:r w:rsidR="00E15333" w:rsidRPr="00C619C3">
          <w:rPr>
            <w:rStyle w:val="Hyperlink"/>
            <w:noProof/>
          </w:rPr>
          <w:t>4.4.</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Right to data portability (Article 22</w:t>
        </w:r>
        <w:r w:rsidR="00E15333">
          <w:rPr>
            <w:noProof/>
            <w:webHidden/>
          </w:rPr>
          <w:tab/>
        </w:r>
        <w:r w:rsidR="00E15333">
          <w:rPr>
            <w:noProof/>
            <w:webHidden/>
          </w:rPr>
          <w:fldChar w:fldCharType="begin"/>
        </w:r>
        <w:r w:rsidR="00E15333">
          <w:rPr>
            <w:noProof/>
            <w:webHidden/>
          </w:rPr>
          <w:instrText xml:space="preserve"> PAGEREF _Toc524354234 \h </w:instrText>
        </w:r>
        <w:r w:rsidR="00E15333">
          <w:rPr>
            <w:noProof/>
            <w:webHidden/>
          </w:rPr>
        </w:r>
        <w:r w:rsidR="00E15333">
          <w:rPr>
            <w:noProof/>
            <w:webHidden/>
          </w:rPr>
          <w:fldChar w:fldCharType="separate"/>
        </w:r>
        <w:r w:rsidR="00E15333">
          <w:rPr>
            <w:noProof/>
            <w:webHidden/>
          </w:rPr>
          <w:t>7</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35" w:history="1">
        <w:r w:rsidR="00E15333" w:rsidRPr="00C619C3">
          <w:rPr>
            <w:rStyle w:val="Hyperlink"/>
            <w:noProof/>
          </w:rPr>
          <w:t>4.5.</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Right to withdraw consent at any time [Article 7(3)]</w:t>
        </w:r>
        <w:r w:rsidR="00E15333">
          <w:rPr>
            <w:noProof/>
            <w:webHidden/>
          </w:rPr>
          <w:tab/>
        </w:r>
        <w:r w:rsidR="00E15333">
          <w:rPr>
            <w:noProof/>
            <w:webHidden/>
          </w:rPr>
          <w:fldChar w:fldCharType="begin"/>
        </w:r>
        <w:r w:rsidR="00E15333">
          <w:rPr>
            <w:noProof/>
            <w:webHidden/>
          </w:rPr>
          <w:instrText xml:space="preserve"> PAGEREF _Toc524354235 \h </w:instrText>
        </w:r>
        <w:r w:rsidR="00E15333">
          <w:rPr>
            <w:noProof/>
            <w:webHidden/>
          </w:rPr>
        </w:r>
        <w:r w:rsidR="00E15333">
          <w:rPr>
            <w:noProof/>
            <w:webHidden/>
          </w:rPr>
          <w:fldChar w:fldCharType="separate"/>
        </w:r>
        <w:r w:rsidR="00E15333">
          <w:rPr>
            <w:noProof/>
            <w:webHidden/>
          </w:rPr>
          <w:t>7</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36" w:history="1">
        <w:r w:rsidR="00E15333" w:rsidRPr="00C619C3">
          <w:rPr>
            <w:rStyle w:val="Hyperlink"/>
            <w:noProof/>
          </w:rPr>
          <w:t>4.6.</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Right to lodge a complaint with the EDPS (Article 63 et seq.)</w:t>
        </w:r>
        <w:r w:rsidR="00E15333">
          <w:rPr>
            <w:noProof/>
            <w:webHidden/>
          </w:rPr>
          <w:tab/>
        </w:r>
        <w:r w:rsidR="00E15333">
          <w:rPr>
            <w:noProof/>
            <w:webHidden/>
          </w:rPr>
          <w:fldChar w:fldCharType="begin"/>
        </w:r>
        <w:r w:rsidR="00E15333">
          <w:rPr>
            <w:noProof/>
            <w:webHidden/>
          </w:rPr>
          <w:instrText xml:space="preserve"> PAGEREF _Toc524354236 \h </w:instrText>
        </w:r>
        <w:r w:rsidR="00E15333">
          <w:rPr>
            <w:noProof/>
            <w:webHidden/>
          </w:rPr>
        </w:r>
        <w:r w:rsidR="00E15333">
          <w:rPr>
            <w:noProof/>
            <w:webHidden/>
          </w:rPr>
          <w:fldChar w:fldCharType="separate"/>
        </w:r>
        <w:r w:rsidR="00E15333">
          <w:rPr>
            <w:noProof/>
            <w:webHidden/>
          </w:rPr>
          <w:t>8</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37" w:history="1">
        <w:r w:rsidR="00E15333" w:rsidRPr="00C619C3">
          <w:rPr>
            <w:rStyle w:val="Hyperlink"/>
            <w:noProof/>
          </w:rPr>
          <w:t>4.7.</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Restriction of rights (Article 25)</w:t>
        </w:r>
        <w:r w:rsidR="00E15333">
          <w:rPr>
            <w:noProof/>
            <w:webHidden/>
          </w:rPr>
          <w:tab/>
        </w:r>
        <w:r w:rsidR="00E15333">
          <w:rPr>
            <w:noProof/>
            <w:webHidden/>
          </w:rPr>
          <w:fldChar w:fldCharType="begin"/>
        </w:r>
        <w:r w:rsidR="00E15333">
          <w:rPr>
            <w:noProof/>
            <w:webHidden/>
          </w:rPr>
          <w:instrText xml:space="preserve"> PAGEREF _Toc524354237 \h </w:instrText>
        </w:r>
        <w:r w:rsidR="00E15333">
          <w:rPr>
            <w:noProof/>
            <w:webHidden/>
          </w:rPr>
        </w:r>
        <w:r w:rsidR="00E15333">
          <w:rPr>
            <w:noProof/>
            <w:webHidden/>
          </w:rPr>
          <w:fldChar w:fldCharType="separate"/>
        </w:r>
        <w:r w:rsidR="00E15333">
          <w:rPr>
            <w:noProof/>
            <w:webHidden/>
          </w:rPr>
          <w:t>8</w:t>
        </w:r>
        <w:r w:rsidR="00E15333">
          <w:rPr>
            <w:noProof/>
            <w:webHidden/>
          </w:rPr>
          <w:fldChar w:fldCharType="end"/>
        </w:r>
      </w:hyperlink>
    </w:p>
    <w:p w:rsidR="00E15333" w:rsidRDefault="009102CE">
      <w:pPr>
        <w:pStyle w:val="TOC1"/>
        <w:tabs>
          <w:tab w:val="left" w:pos="660"/>
          <w:tab w:val="right" w:leader="dot" w:pos="8778"/>
        </w:tabs>
        <w:rPr>
          <w:rFonts w:asciiTheme="minorHAnsi" w:eastAsiaTheme="minorEastAsia" w:hAnsiTheme="minorHAnsi" w:cstheme="minorBidi"/>
          <w:b w:val="0"/>
          <w:bCs w:val="0"/>
          <w:noProof/>
          <w:spacing w:val="0"/>
          <w:sz w:val="22"/>
          <w:szCs w:val="22"/>
          <w:lang w:val="fr-FR" w:eastAsia="fr-FR"/>
        </w:rPr>
      </w:pPr>
      <w:hyperlink w:anchor="_Toc524354238" w:history="1">
        <w:r w:rsidR="00E15333" w:rsidRPr="00C619C3">
          <w:rPr>
            <w:rStyle w:val="Hyperlink"/>
            <w:noProof/>
          </w:rPr>
          <w:t>5.</w:t>
        </w:r>
        <w:r w:rsidR="00E15333">
          <w:rPr>
            <w:rFonts w:asciiTheme="minorHAnsi" w:eastAsiaTheme="minorEastAsia" w:hAnsiTheme="minorHAnsi" w:cstheme="minorBidi"/>
            <w:b w:val="0"/>
            <w:bCs w:val="0"/>
            <w:noProof/>
            <w:spacing w:val="0"/>
            <w:sz w:val="22"/>
            <w:szCs w:val="22"/>
            <w:lang w:val="fr-FR" w:eastAsia="fr-FR"/>
          </w:rPr>
          <w:tab/>
        </w:r>
        <w:r w:rsidR="00E15333" w:rsidRPr="00C619C3">
          <w:rPr>
            <w:rStyle w:val="Hyperlink"/>
            <w:noProof/>
          </w:rPr>
          <w:t>Controllers’ obligations</w:t>
        </w:r>
        <w:r w:rsidR="00E15333">
          <w:rPr>
            <w:noProof/>
            <w:webHidden/>
          </w:rPr>
          <w:tab/>
        </w:r>
        <w:r w:rsidR="00E15333">
          <w:rPr>
            <w:noProof/>
            <w:webHidden/>
          </w:rPr>
          <w:fldChar w:fldCharType="begin"/>
        </w:r>
        <w:r w:rsidR="00E15333">
          <w:rPr>
            <w:noProof/>
            <w:webHidden/>
          </w:rPr>
          <w:instrText xml:space="preserve"> PAGEREF _Toc524354238 \h </w:instrText>
        </w:r>
        <w:r w:rsidR="00E15333">
          <w:rPr>
            <w:noProof/>
            <w:webHidden/>
          </w:rPr>
        </w:r>
        <w:r w:rsidR="00E15333">
          <w:rPr>
            <w:noProof/>
            <w:webHidden/>
          </w:rPr>
          <w:fldChar w:fldCharType="separate"/>
        </w:r>
        <w:r w:rsidR="00E15333">
          <w:rPr>
            <w:noProof/>
            <w:webHidden/>
          </w:rPr>
          <w:t>8</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39" w:history="1">
        <w:r w:rsidR="00E15333" w:rsidRPr="00C619C3">
          <w:rPr>
            <w:rStyle w:val="Hyperlink"/>
            <w:noProof/>
          </w:rPr>
          <w:t>5.1.</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Data subject’s consent (Article 7)</w:t>
        </w:r>
        <w:r w:rsidR="00E15333">
          <w:rPr>
            <w:noProof/>
            <w:webHidden/>
          </w:rPr>
          <w:tab/>
        </w:r>
        <w:r w:rsidR="00E15333">
          <w:rPr>
            <w:noProof/>
            <w:webHidden/>
          </w:rPr>
          <w:fldChar w:fldCharType="begin"/>
        </w:r>
        <w:r w:rsidR="00E15333">
          <w:rPr>
            <w:noProof/>
            <w:webHidden/>
          </w:rPr>
          <w:instrText xml:space="preserve"> PAGEREF _Toc524354239 \h </w:instrText>
        </w:r>
        <w:r w:rsidR="00E15333">
          <w:rPr>
            <w:noProof/>
            <w:webHidden/>
          </w:rPr>
        </w:r>
        <w:r w:rsidR="00E15333">
          <w:rPr>
            <w:noProof/>
            <w:webHidden/>
          </w:rPr>
          <w:fldChar w:fldCharType="separate"/>
        </w:r>
        <w:r w:rsidR="00E15333">
          <w:rPr>
            <w:noProof/>
            <w:webHidden/>
          </w:rPr>
          <w:t>8</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40" w:history="1">
        <w:r w:rsidR="00E15333" w:rsidRPr="00C619C3">
          <w:rPr>
            <w:rStyle w:val="Hyperlink"/>
            <w:noProof/>
          </w:rPr>
          <w:t>5.2.</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Data protection by design and by default (Article 27)</w:t>
        </w:r>
        <w:r w:rsidR="00E15333">
          <w:rPr>
            <w:noProof/>
            <w:webHidden/>
          </w:rPr>
          <w:tab/>
        </w:r>
        <w:r w:rsidR="00E15333">
          <w:rPr>
            <w:noProof/>
            <w:webHidden/>
          </w:rPr>
          <w:fldChar w:fldCharType="begin"/>
        </w:r>
        <w:r w:rsidR="00E15333">
          <w:rPr>
            <w:noProof/>
            <w:webHidden/>
          </w:rPr>
          <w:instrText xml:space="preserve"> PAGEREF _Toc524354240 \h </w:instrText>
        </w:r>
        <w:r w:rsidR="00E15333">
          <w:rPr>
            <w:noProof/>
            <w:webHidden/>
          </w:rPr>
        </w:r>
        <w:r w:rsidR="00E15333">
          <w:rPr>
            <w:noProof/>
            <w:webHidden/>
          </w:rPr>
          <w:fldChar w:fldCharType="separate"/>
        </w:r>
        <w:r w:rsidR="00E15333">
          <w:rPr>
            <w:noProof/>
            <w:webHidden/>
          </w:rPr>
          <w:t>8</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41" w:history="1">
        <w:r w:rsidR="00E15333" w:rsidRPr="00C619C3">
          <w:rPr>
            <w:rStyle w:val="Hyperlink"/>
            <w:noProof/>
          </w:rPr>
          <w:t>5.3.</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Data protection impact assessment (Article 39 et seq.)</w:t>
        </w:r>
        <w:r w:rsidR="00E15333">
          <w:rPr>
            <w:noProof/>
            <w:webHidden/>
          </w:rPr>
          <w:tab/>
        </w:r>
        <w:r w:rsidR="00E15333">
          <w:rPr>
            <w:noProof/>
            <w:webHidden/>
          </w:rPr>
          <w:fldChar w:fldCharType="begin"/>
        </w:r>
        <w:r w:rsidR="00E15333">
          <w:rPr>
            <w:noProof/>
            <w:webHidden/>
          </w:rPr>
          <w:instrText xml:space="preserve"> PAGEREF _Toc524354241 \h </w:instrText>
        </w:r>
        <w:r w:rsidR="00E15333">
          <w:rPr>
            <w:noProof/>
            <w:webHidden/>
          </w:rPr>
        </w:r>
        <w:r w:rsidR="00E15333">
          <w:rPr>
            <w:noProof/>
            <w:webHidden/>
          </w:rPr>
          <w:fldChar w:fldCharType="separate"/>
        </w:r>
        <w:r w:rsidR="00E15333">
          <w:rPr>
            <w:noProof/>
            <w:webHidden/>
          </w:rPr>
          <w:t>8</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42" w:history="1">
        <w:r w:rsidR="00E15333" w:rsidRPr="00C619C3">
          <w:rPr>
            <w:rStyle w:val="Hyperlink"/>
            <w:noProof/>
          </w:rPr>
          <w:t>5.4.</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Obligation to notify the EDPS and the data subject of a data breach (Articles 37 and 38)</w:t>
        </w:r>
        <w:r w:rsidR="00E15333">
          <w:rPr>
            <w:noProof/>
            <w:webHidden/>
          </w:rPr>
          <w:tab/>
        </w:r>
        <w:r w:rsidR="00E15333">
          <w:rPr>
            <w:noProof/>
            <w:webHidden/>
          </w:rPr>
          <w:fldChar w:fldCharType="begin"/>
        </w:r>
        <w:r w:rsidR="00E15333">
          <w:rPr>
            <w:noProof/>
            <w:webHidden/>
          </w:rPr>
          <w:instrText xml:space="preserve"> PAGEREF _Toc524354242 \h </w:instrText>
        </w:r>
        <w:r w:rsidR="00E15333">
          <w:rPr>
            <w:noProof/>
            <w:webHidden/>
          </w:rPr>
        </w:r>
        <w:r w:rsidR="00E15333">
          <w:rPr>
            <w:noProof/>
            <w:webHidden/>
          </w:rPr>
          <w:fldChar w:fldCharType="separate"/>
        </w:r>
        <w:r w:rsidR="00E15333">
          <w:rPr>
            <w:noProof/>
            <w:webHidden/>
          </w:rPr>
          <w:t>9</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43" w:history="1">
        <w:r w:rsidR="00E15333" w:rsidRPr="00C619C3">
          <w:rPr>
            <w:rStyle w:val="Hyperlink"/>
            <w:noProof/>
          </w:rPr>
          <w:t>5.5.</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Security of personal data and confidentiality of communications (Articles 33 and 38a)</w:t>
        </w:r>
        <w:r w:rsidR="00E15333">
          <w:rPr>
            <w:noProof/>
            <w:webHidden/>
          </w:rPr>
          <w:tab/>
        </w:r>
        <w:r w:rsidR="00E15333">
          <w:rPr>
            <w:noProof/>
            <w:webHidden/>
          </w:rPr>
          <w:fldChar w:fldCharType="begin"/>
        </w:r>
        <w:r w:rsidR="00E15333">
          <w:rPr>
            <w:noProof/>
            <w:webHidden/>
          </w:rPr>
          <w:instrText xml:space="preserve"> PAGEREF _Toc524354243 \h </w:instrText>
        </w:r>
        <w:r w:rsidR="00E15333">
          <w:rPr>
            <w:noProof/>
            <w:webHidden/>
          </w:rPr>
        </w:r>
        <w:r w:rsidR="00E15333">
          <w:rPr>
            <w:noProof/>
            <w:webHidden/>
          </w:rPr>
          <w:fldChar w:fldCharType="separate"/>
        </w:r>
        <w:r w:rsidR="00E15333">
          <w:rPr>
            <w:noProof/>
            <w:webHidden/>
          </w:rPr>
          <w:t>9</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44" w:history="1">
        <w:r w:rsidR="00E15333" w:rsidRPr="00C619C3">
          <w:rPr>
            <w:rStyle w:val="Hyperlink"/>
            <w:noProof/>
          </w:rPr>
          <w:t>5.6.</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Protection of directories of users (Article 38b)</w:t>
        </w:r>
        <w:r w:rsidR="00E15333">
          <w:rPr>
            <w:noProof/>
            <w:webHidden/>
          </w:rPr>
          <w:tab/>
        </w:r>
        <w:r w:rsidR="00E15333">
          <w:rPr>
            <w:noProof/>
            <w:webHidden/>
          </w:rPr>
          <w:fldChar w:fldCharType="begin"/>
        </w:r>
        <w:r w:rsidR="00E15333">
          <w:rPr>
            <w:noProof/>
            <w:webHidden/>
          </w:rPr>
          <w:instrText xml:space="preserve"> PAGEREF _Toc524354244 \h </w:instrText>
        </w:r>
        <w:r w:rsidR="00E15333">
          <w:rPr>
            <w:noProof/>
            <w:webHidden/>
          </w:rPr>
        </w:r>
        <w:r w:rsidR="00E15333">
          <w:rPr>
            <w:noProof/>
            <w:webHidden/>
          </w:rPr>
          <w:fldChar w:fldCharType="separate"/>
        </w:r>
        <w:r w:rsidR="00E15333">
          <w:rPr>
            <w:noProof/>
            <w:webHidden/>
          </w:rPr>
          <w:t>9</w:t>
        </w:r>
        <w:r w:rsidR="00E15333">
          <w:rPr>
            <w:noProof/>
            <w:webHidden/>
          </w:rPr>
          <w:fldChar w:fldCharType="end"/>
        </w:r>
      </w:hyperlink>
    </w:p>
    <w:p w:rsidR="00E15333" w:rsidRDefault="009102CE">
      <w:pPr>
        <w:pStyle w:val="TOC1"/>
        <w:tabs>
          <w:tab w:val="left" w:pos="660"/>
          <w:tab w:val="right" w:leader="dot" w:pos="8778"/>
        </w:tabs>
        <w:rPr>
          <w:rFonts w:asciiTheme="minorHAnsi" w:eastAsiaTheme="minorEastAsia" w:hAnsiTheme="minorHAnsi" w:cstheme="minorBidi"/>
          <w:b w:val="0"/>
          <w:bCs w:val="0"/>
          <w:noProof/>
          <w:spacing w:val="0"/>
          <w:sz w:val="22"/>
          <w:szCs w:val="22"/>
          <w:lang w:val="fr-FR" w:eastAsia="fr-FR"/>
        </w:rPr>
      </w:pPr>
      <w:hyperlink w:anchor="_Toc524354245" w:history="1">
        <w:r w:rsidR="00E15333" w:rsidRPr="00C619C3">
          <w:rPr>
            <w:rStyle w:val="Hyperlink"/>
            <w:noProof/>
          </w:rPr>
          <w:t>6.</w:t>
        </w:r>
        <w:r w:rsidR="00E15333">
          <w:rPr>
            <w:rFonts w:asciiTheme="minorHAnsi" w:eastAsiaTheme="minorEastAsia" w:hAnsiTheme="minorHAnsi" w:cstheme="minorBidi"/>
            <w:b w:val="0"/>
            <w:bCs w:val="0"/>
            <w:noProof/>
            <w:spacing w:val="0"/>
            <w:sz w:val="22"/>
            <w:szCs w:val="22"/>
            <w:lang w:val="fr-FR" w:eastAsia="fr-FR"/>
          </w:rPr>
          <w:tab/>
        </w:r>
        <w:r w:rsidR="00E15333" w:rsidRPr="00C619C3">
          <w:rPr>
            <w:rStyle w:val="Hyperlink"/>
            <w:noProof/>
          </w:rPr>
          <w:t>Clarification of processors’ obligations</w:t>
        </w:r>
        <w:r w:rsidR="00E15333">
          <w:rPr>
            <w:noProof/>
            <w:webHidden/>
          </w:rPr>
          <w:tab/>
        </w:r>
        <w:r w:rsidR="00E15333">
          <w:rPr>
            <w:noProof/>
            <w:webHidden/>
          </w:rPr>
          <w:fldChar w:fldCharType="begin"/>
        </w:r>
        <w:r w:rsidR="00E15333">
          <w:rPr>
            <w:noProof/>
            <w:webHidden/>
          </w:rPr>
          <w:instrText xml:space="preserve"> PAGEREF _Toc524354245 \h </w:instrText>
        </w:r>
        <w:r w:rsidR="00E15333">
          <w:rPr>
            <w:noProof/>
            <w:webHidden/>
          </w:rPr>
        </w:r>
        <w:r w:rsidR="00E15333">
          <w:rPr>
            <w:noProof/>
            <w:webHidden/>
          </w:rPr>
          <w:fldChar w:fldCharType="separate"/>
        </w:r>
        <w:r w:rsidR="00E15333">
          <w:rPr>
            <w:noProof/>
            <w:webHidden/>
          </w:rPr>
          <w:t>9</w:t>
        </w:r>
        <w:r w:rsidR="00E15333">
          <w:rPr>
            <w:noProof/>
            <w:webHidden/>
          </w:rPr>
          <w:fldChar w:fldCharType="end"/>
        </w:r>
      </w:hyperlink>
    </w:p>
    <w:p w:rsidR="00E15333" w:rsidRDefault="009102CE">
      <w:pPr>
        <w:pStyle w:val="TOC1"/>
        <w:tabs>
          <w:tab w:val="left" w:pos="660"/>
          <w:tab w:val="right" w:leader="dot" w:pos="8778"/>
        </w:tabs>
        <w:rPr>
          <w:rFonts w:asciiTheme="minorHAnsi" w:eastAsiaTheme="minorEastAsia" w:hAnsiTheme="minorHAnsi" w:cstheme="minorBidi"/>
          <w:b w:val="0"/>
          <w:bCs w:val="0"/>
          <w:noProof/>
          <w:spacing w:val="0"/>
          <w:sz w:val="22"/>
          <w:szCs w:val="22"/>
          <w:lang w:val="fr-FR" w:eastAsia="fr-FR"/>
        </w:rPr>
      </w:pPr>
      <w:hyperlink w:anchor="_Toc524354246" w:history="1">
        <w:r w:rsidR="00E15333" w:rsidRPr="00C619C3">
          <w:rPr>
            <w:rStyle w:val="Hyperlink"/>
            <w:noProof/>
          </w:rPr>
          <w:t>7.</w:t>
        </w:r>
        <w:r w:rsidR="00E15333">
          <w:rPr>
            <w:rFonts w:asciiTheme="minorHAnsi" w:eastAsiaTheme="minorEastAsia" w:hAnsiTheme="minorHAnsi" w:cstheme="minorBidi"/>
            <w:b w:val="0"/>
            <w:bCs w:val="0"/>
            <w:noProof/>
            <w:spacing w:val="0"/>
            <w:sz w:val="22"/>
            <w:szCs w:val="22"/>
            <w:lang w:val="fr-FR" w:eastAsia="fr-FR"/>
          </w:rPr>
          <w:tab/>
        </w:r>
        <w:r w:rsidR="00E15333" w:rsidRPr="00C619C3">
          <w:rPr>
            <w:rStyle w:val="Hyperlink"/>
            <w:noProof/>
          </w:rPr>
          <w:t>Simplification of procedures</w:t>
        </w:r>
        <w:r w:rsidR="00E15333">
          <w:rPr>
            <w:noProof/>
            <w:webHidden/>
          </w:rPr>
          <w:tab/>
        </w:r>
        <w:r w:rsidR="00E15333">
          <w:rPr>
            <w:noProof/>
            <w:webHidden/>
          </w:rPr>
          <w:fldChar w:fldCharType="begin"/>
        </w:r>
        <w:r w:rsidR="00E15333">
          <w:rPr>
            <w:noProof/>
            <w:webHidden/>
          </w:rPr>
          <w:instrText xml:space="preserve"> PAGEREF _Toc524354246 \h </w:instrText>
        </w:r>
        <w:r w:rsidR="00E15333">
          <w:rPr>
            <w:noProof/>
            <w:webHidden/>
          </w:rPr>
        </w:r>
        <w:r w:rsidR="00E15333">
          <w:rPr>
            <w:noProof/>
            <w:webHidden/>
          </w:rPr>
          <w:fldChar w:fldCharType="separate"/>
        </w:r>
        <w:r w:rsidR="00E15333">
          <w:rPr>
            <w:noProof/>
            <w:webHidden/>
          </w:rPr>
          <w:t>10</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47" w:history="1">
        <w:r w:rsidR="00E15333" w:rsidRPr="00C619C3">
          <w:rPr>
            <w:rStyle w:val="Hyperlink"/>
            <w:noProof/>
          </w:rPr>
          <w:t>7.1.</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Transfer of data within or between institutions</w:t>
        </w:r>
        <w:r w:rsidR="00E15333">
          <w:rPr>
            <w:noProof/>
            <w:webHidden/>
          </w:rPr>
          <w:tab/>
        </w:r>
        <w:r w:rsidR="00E15333">
          <w:rPr>
            <w:noProof/>
            <w:webHidden/>
          </w:rPr>
          <w:fldChar w:fldCharType="begin"/>
        </w:r>
        <w:r w:rsidR="00E15333">
          <w:rPr>
            <w:noProof/>
            <w:webHidden/>
          </w:rPr>
          <w:instrText xml:space="preserve"> PAGEREF _Toc524354247 \h </w:instrText>
        </w:r>
        <w:r w:rsidR="00E15333">
          <w:rPr>
            <w:noProof/>
            <w:webHidden/>
          </w:rPr>
        </w:r>
        <w:r w:rsidR="00E15333">
          <w:rPr>
            <w:noProof/>
            <w:webHidden/>
          </w:rPr>
          <w:fldChar w:fldCharType="separate"/>
        </w:r>
        <w:r w:rsidR="00E15333">
          <w:rPr>
            <w:noProof/>
            <w:webHidden/>
          </w:rPr>
          <w:t>10</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48" w:history="1">
        <w:r w:rsidR="00E15333" w:rsidRPr="00C619C3">
          <w:rPr>
            <w:rStyle w:val="Hyperlink"/>
            <w:noProof/>
          </w:rPr>
          <w:t>7.2.</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Prior consultation of the EDPS (Article 40)</w:t>
        </w:r>
        <w:r w:rsidR="00E15333">
          <w:rPr>
            <w:noProof/>
            <w:webHidden/>
          </w:rPr>
          <w:tab/>
        </w:r>
        <w:r w:rsidR="00E15333">
          <w:rPr>
            <w:noProof/>
            <w:webHidden/>
          </w:rPr>
          <w:fldChar w:fldCharType="begin"/>
        </w:r>
        <w:r w:rsidR="00E15333">
          <w:rPr>
            <w:noProof/>
            <w:webHidden/>
          </w:rPr>
          <w:instrText xml:space="preserve"> PAGEREF _Toc524354248 \h </w:instrText>
        </w:r>
        <w:r w:rsidR="00E15333">
          <w:rPr>
            <w:noProof/>
            <w:webHidden/>
          </w:rPr>
        </w:r>
        <w:r w:rsidR="00E15333">
          <w:rPr>
            <w:noProof/>
            <w:webHidden/>
          </w:rPr>
          <w:fldChar w:fldCharType="separate"/>
        </w:r>
        <w:r w:rsidR="00E15333">
          <w:rPr>
            <w:noProof/>
            <w:webHidden/>
          </w:rPr>
          <w:t>10</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49" w:history="1">
        <w:r w:rsidR="00E15333" w:rsidRPr="00C619C3">
          <w:rPr>
            <w:rStyle w:val="Hyperlink"/>
            <w:noProof/>
          </w:rPr>
          <w:t>7.3.</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Records of processing activities (Article 31)</w:t>
        </w:r>
        <w:r w:rsidR="00E15333">
          <w:rPr>
            <w:noProof/>
            <w:webHidden/>
          </w:rPr>
          <w:tab/>
        </w:r>
        <w:r w:rsidR="00E15333">
          <w:rPr>
            <w:noProof/>
            <w:webHidden/>
          </w:rPr>
          <w:fldChar w:fldCharType="begin"/>
        </w:r>
        <w:r w:rsidR="00E15333">
          <w:rPr>
            <w:noProof/>
            <w:webHidden/>
          </w:rPr>
          <w:instrText xml:space="preserve"> PAGEREF _Toc524354249 \h </w:instrText>
        </w:r>
        <w:r w:rsidR="00E15333">
          <w:rPr>
            <w:noProof/>
            <w:webHidden/>
          </w:rPr>
        </w:r>
        <w:r w:rsidR="00E15333">
          <w:rPr>
            <w:noProof/>
            <w:webHidden/>
          </w:rPr>
          <w:fldChar w:fldCharType="separate"/>
        </w:r>
        <w:r w:rsidR="00E15333">
          <w:rPr>
            <w:noProof/>
            <w:webHidden/>
          </w:rPr>
          <w:t>10</w:t>
        </w:r>
        <w:r w:rsidR="00E15333">
          <w:rPr>
            <w:noProof/>
            <w:webHidden/>
          </w:rPr>
          <w:fldChar w:fldCharType="end"/>
        </w:r>
      </w:hyperlink>
    </w:p>
    <w:p w:rsidR="00E15333" w:rsidRDefault="009102CE">
      <w:pPr>
        <w:pStyle w:val="TOC1"/>
        <w:tabs>
          <w:tab w:val="left" w:pos="660"/>
          <w:tab w:val="right" w:leader="dot" w:pos="8778"/>
        </w:tabs>
        <w:rPr>
          <w:rFonts w:asciiTheme="minorHAnsi" w:eastAsiaTheme="minorEastAsia" w:hAnsiTheme="minorHAnsi" w:cstheme="minorBidi"/>
          <w:b w:val="0"/>
          <w:bCs w:val="0"/>
          <w:noProof/>
          <w:spacing w:val="0"/>
          <w:sz w:val="22"/>
          <w:szCs w:val="22"/>
          <w:lang w:val="fr-FR" w:eastAsia="fr-FR"/>
        </w:rPr>
      </w:pPr>
      <w:hyperlink w:anchor="_Toc524354250" w:history="1">
        <w:r w:rsidR="00E15333" w:rsidRPr="00C619C3">
          <w:rPr>
            <w:rStyle w:val="Hyperlink"/>
            <w:noProof/>
          </w:rPr>
          <w:t>8.</w:t>
        </w:r>
        <w:r w:rsidR="00E15333">
          <w:rPr>
            <w:rFonts w:asciiTheme="minorHAnsi" w:eastAsiaTheme="minorEastAsia" w:hAnsiTheme="minorHAnsi" w:cstheme="minorBidi"/>
            <w:b w:val="0"/>
            <w:bCs w:val="0"/>
            <w:noProof/>
            <w:spacing w:val="0"/>
            <w:sz w:val="22"/>
            <w:szCs w:val="22"/>
            <w:lang w:val="fr-FR" w:eastAsia="fr-FR"/>
          </w:rPr>
          <w:tab/>
        </w:r>
        <w:r w:rsidR="00E15333" w:rsidRPr="00C619C3">
          <w:rPr>
            <w:rStyle w:val="Hyperlink"/>
            <w:noProof/>
          </w:rPr>
          <w:t>Fines for non-compliance with data protection rules</w:t>
        </w:r>
        <w:r w:rsidR="00E15333">
          <w:rPr>
            <w:noProof/>
            <w:webHidden/>
          </w:rPr>
          <w:tab/>
        </w:r>
        <w:r w:rsidR="00E15333">
          <w:rPr>
            <w:noProof/>
            <w:webHidden/>
          </w:rPr>
          <w:fldChar w:fldCharType="begin"/>
        </w:r>
        <w:r w:rsidR="00E15333">
          <w:rPr>
            <w:noProof/>
            <w:webHidden/>
          </w:rPr>
          <w:instrText xml:space="preserve"> PAGEREF _Toc524354250 \h </w:instrText>
        </w:r>
        <w:r w:rsidR="00E15333">
          <w:rPr>
            <w:noProof/>
            <w:webHidden/>
          </w:rPr>
        </w:r>
        <w:r w:rsidR="00E15333">
          <w:rPr>
            <w:noProof/>
            <w:webHidden/>
          </w:rPr>
          <w:fldChar w:fldCharType="separate"/>
        </w:r>
        <w:r w:rsidR="00E15333">
          <w:rPr>
            <w:noProof/>
            <w:webHidden/>
          </w:rPr>
          <w:t>10</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51" w:history="1">
        <w:r w:rsidR="00E15333" w:rsidRPr="00C619C3">
          <w:rPr>
            <w:rStyle w:val="Hyperlink"/>
            <w:noProof/>
          </w:rPr>
          <w:t>8.1.</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[Articles 66 and 29(10)]</w:t>
        </w:r>
        <w:r w:rsidR="00E15333">
          <w:rPr>
            <w:noProof/>
            <w:webHidden/>
          </w:rPr>
          <w:tab/>
        </w:r>
        <w:r w:rsidR="00E15333">
          <w:rPr>
            <w:noProof/>
            <w:webHidden/>
          </w:rPr>
          <w:fldChar w:fldCharType="begin"/>
        </w:r>
        <w:r w:rsidR="00E15333">
          <w:rPr>
            <w:noProof/>
            <w:webHidden/>
          </w:rPr>
          <w:instrText xml:space="preserve"> PAGEREF _Toc524354251 \h </w:instrText>
        </w:r>
        <w:r w:rsidR="00E15333">
          <w:rPr>
            <w:noProof/>
            <w:webHidden/>
          </w:rPr>
        </w:r>
        <w:r w:rsidR="00E15333">
          <w:rPr>
            <w:noProof/>
            <w:webHidden/>
          </w:rPr>
          <w:fldChar w:fldCharType="separate"/>
        </w:r>
        <w:r w:rsidR="00E15333">
          <w:rPr>
            <w:noProof/>
            <w:webHidden/>
          </w:rPr>
          <w:t>10</w:t>
        </w:r>
        <w:r w:rsidR="00E15333">
          <w:rPr>
            <w:noProof/>
            <w:webHidden/>
          </w:rPr>
          <w:fldChar w:fldCharType="end"/>
        </w:r>
      </w:hyperlink>
    </w:p>
    <w:p w:rsidR="00E15333" w:rsidRDefault="009102CE">
      <w:pPr>
        <w:pStyle w:val="TOC1"/>
        <w:tabs>
          <w:tab w:val="left" w:pos="660"/>
          <w:tab w:val="right" w:leader="dot" w:pos="8778"/>
        </w:tabs>
        <w:rPr>
          <w:rFonts w:asciiTheme="minorHAnsi" w:eastAsiaTheme="minorEastAsia" w:hAnsiTheme="minorHAnsi" w:cstheme="minorBidi"/>
          <w:b w:val="0"/>
          <w:bCs w:val="0"/>
          <w:noProof/>
          <w:spacing w:val="0"/>
          <w:sz w:val="22"/>
          <w:szCs w:val="22"/>
          <w:lang w:val="fr-FR" w:eastAsia="fr-FR"/>
        </w:rPr>
      </w:pPr>
      <w:hyperlink w:anchor="_Toc524354252" w:history="1">
        <w:r w:rsidR="00E15333" w:rsidRPr="00C619C3">
          <w:rPr>
            <w:rStyle w:val="Hyperlink"/>
            <w:noProof/>
          </w:rPr>
          <w:t>9.</w:t>
        </w:r>
        <w:r w:rsidR="00E15333">
          <w:rPr>
            <w:rFonts w:asciiTheme="minorHAnsi" w:eastAsiaTheme="minorEastAsia" w:hAnsiTheme="minorHAnsi" w:cstheme="minorBidi"/>
            <w:b w:val="0"/>
            <w:bCs w:val="0"/>
            <w:noProof/>
            <w:spacing w:val="0"/>
            <w:sz w:val="22"/>
            <w:szCs w:val="22"/>
            <w:lang w:val="fr-FR" w:eastAsia="fr-FR"/>
          </w:rPr>
          <w:tab/>
        </w:r>
        <w:r w:rsidR="00E15333" w:rsidRPr="00C619C3">
          <w:rPr>
            <w:rStyle w:val="Hyperlink"/>
            <w:noProof/>
          </w:rPr>
          <w:t>Other provisions</w:t>
        </w:r>
        <w:r w:rsidR="00E15333">
          <w:rPr>
            <w:noProof/>
            <w:webHidden/>
          </w:rPr>
          <w:tab/>
        </w:r>
        <w:r w:rsidR="00E15333">
          <w:rPr>
            <w:noProof/>
            <w:webHidden/>
          </w:rPr>
          <w:fldChar w:fldCharType="begin"/>
        </w:r>
        <w:r w:rsidR="00E15333">
          <w:rPr>
            <w:noProof/>
            <w:webHidden/>
          </w:rPr>
          <w:instrText xml:space="preserve"> PAGEREF _Toc524354252 \h </w:instrText>
        </w:r>
        <w:r w:rsidR="00E15333">
          <w:rPr>
            <w:noProof/>
            <w:webHidden/>
          </w:rPr>
        </w:r>
        <w:r w:rsidR="00E15333">
          <w:rPr>
            <w:noProof/>
            <w:webHidden/>
          </w:rPr>
          <w:fldChar w:fldCharType="separate"/>
        </w:r>
        <w:r w:rsidR="00E15333">
          <w:rPr>
            <w:noProof/>
            <w:webHidden/>
          </w:rPr>
          <w:t>11</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53" w:history="1">
        <w:r w:rsidR="00E15333" w:rsidRPr="00C619C3">
          <w:rPr>
            <w:rStyle w:val="Hyperlink"/>
            <w:noProof/>
          </w:rPr>
          <w:t>9.1.</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Data protection officer (Articles 44-46)</w:t>
        </w:r>
        <w:r w:rsidR="00E15333">
          <w:rPr>
            <w:noProof/>
            <w:webHidden/>
          </w:rPr>
          <w:tab/>
        </w:r>
        <w:r w:rsidR="00E15333">
          <w:rPr>
            <w:noProof/>
            <w:webHidden/>
          </w:rPr>
          <w:fldChar w:fldCharType="begin"/>
        </w:r>
        <w:r w:rsidR="00E15333">
          <w:rPr>
            <w:noProof/>
            <w:webHidden/>
          </w:rPr>
          <w:instrText xml:space="preserve"> PAGEREF _Toc524354253 \h </w:instrText>
        </w:r>
        <w:r w:rsidR="00E15333">
          <w:rPr>
            <w:noProof/>
            <w:webHidden/>
          </w:rPr>
        </w:r>
        <w:r w:rsidR="00E15333">
          <w:rPr>
            <w:noProof/>
            <w:webHidden/>
          </w:rPr>
          <w:fldChar w:fldCharType="separate"/>
        </w:r>
        <w:r w:rsidR="00E15333">
          <w:rPr>
            <w:noProof/>
            <w:webHidden/>
          </w:rPr>
          <w:t>11</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54" w:history="1">
        <w:r w:rsidR="00E15333" w:rsidRPr="00C619C3">
          <w:rPr>
            <w:rStyle w:val="Hyperlink"/>
            <w:noProof/>
          </w:rPr>
          <w:t>9.2.</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International data transfers (Article 47-52)</w:t>
        </w:r>
        <w:r w:rsidR="00E15333">
          <w:rPr>
            <w:noProof/>
            <w:webHidden/>
          </w:rPr>
          <w:tab/>
        </w:r>
        <w:r w:rsidR="00E15333">
          <w:rPr>
            <w:noProof/>
            <w:webHidden/>
          </w:rPr>
          <w:fldChar w:fldCharType="begin"/>
        </w:r>
        <w:r w:rsidR="00E15333">
          <w:rPr>
            <w:noProof/>
            <w:webHidden/>
          </w:rPr>
          <w:instrText xml:space="preserve"> PAGEREF _Toc524354254 \h </w:instrText>
        </w:r>
        <w:r w:rsidR="00E15333">
          <w:rPr>
            <w:noProof/>
            <w:webHidden/>
          </w:rPr>
        </w:r>
        <w:r w:rsidR="00E15333">
          <w:rPr>
            <w:noProof/>
            <w:webHidden/>
          </w:rPr>
          <w:fldChar w:fldCharType="separate"/>
        </w:r>
        <w:r w:rsidR="00E15333">
          <w:rPr>
            <w:noProof/>
            <w:webHidden/>
          </w:rPr>
          <w:t>11</w:t>
        </w:r>
        <w:r w:rsidR="00E15333">
          <w:rPr>
            <w:noProof/>
            <w:webHidden/>
          </w:rPr>
          <w:fldChar w:fldCharType="end"/>
        </w:r>
      </w:hyperlink>
    </w:p>
    <w:p w:rsidR="00E15333" w:rsidRDefault="009102CE">
      <w:pPr>
        <w:pStyle w:val="TOC2"/>
        <w:tabs>
          <w:tab w:val="left" w:pos="880"/>
          <w:tab w:val="right" w:leader="dot" w:pos="8778"/>
        </w:tabs>
        <w:rPr>
          <w:rFonts w:asciiTheme="minorHAnsi" w:eastAsiaTheme="minorEastAsia" w:hAnsiTheme="minorHAnsi" w:cstheme="minorBidi"/>
          <w:bCs w:val="0"/>
          <w:noProof/>
          <w:spacing w:val="0"/>
          <w:sz w:val="22"/>
          <w:szCs w:val="22"/>
          <w:lang w:val="fr-FR" w:eastAsia="fr-FR"/>
        </w:rPr>
      </w:pPr>
      <w:hyperlink w:anchor="_Toc524354255" w:history="1">
        <w:r w:rsidR="00E15333" w:rsidRPr="00C619C3">
          <w:rPr>
            <w:rStyle w:val="Hyperlink"/>
            <w:noProof/>
          </w:rPr>
          <w:t>9.3.</w:t>
        </w:r>
        <w:r w:rsidR="00E15333">
          <w:rPr>
            <w:rFonts w:asciiTheme="minorHAnsi" w:eastAsiaTheme="minorEastAsia" w:hAnsiTheme="minorHAnsi" w:cstheme="minorBidi"/>
            <w:bCs w:val="0"/>
            <w:noProof/>
            <w:spacing w:val="0"/>
            <w:sz w:val="22"/>
            <w:szCs w:val="22"/>
            <w:lang w:val="fr-FR" w:eastAsia="fr-FR"/>
          </w:rPr>
          <w:tab/>
        </w:r>
        <w:r w:rsidR="00E15333" w:rsidRPr="00C619C3">
          <w:rPr>
            <w:rStyle w:val="Hyperlink"/>
            <w:noProof/>
          </w:rPr>
          <w:t>Specific provisions for archiving (Article 13)</w:t>
        </w:r>
        <w:r w:rsidR="00E15333">
          <w:rPr>
            <w:noProof/>
            <w:webHidden/>
          </w:rPr>
          <w:tab/>
        </w:r>
        <w:r w:rsidR="00E15333">
          <w:rPr>
            <w:noProof/>
            <w:webHidden/>
          </w:rPr>
          <w:fldChar w:fldCharType="begin"/>
        </w:r>
        <w:r w:rsidR="00E15333">
          <w:rPr>
            <w:noProof/>
            <w:webHidden/>
          </w:rPr>
          <w:instrText xml:space="preserve"> PAGEREF _Toc524354255 \h </w:instrText>
        </w:r>
        <w:r w:rsidR="00E15333">
          <w:rPr>
            <w:noProof/>
            <w:webHidden/>
          </w:rPr>
        </w:r>
        <w:r w:rsidR="00E15333">
          <w:rPr>
            <w:noProof/>
            <w:webHidden/>
          </w:rPr>
          <w:fldChar w:fldCharType="separate"/>
        </w:r>
        <w:r w:rsidR="00E15333">
          <w:rPr>
            <w:noProof/>
            <w:webHidden/>
          </w:rPr>
          <w:t>11</w:t>
        </w:r>
        <w:r w:rsidR="00E15333">
          <w:rPr>
            <w:noProof/>
            <w:webHidden/>
          </w:rPr>
          <w:fldChar w:fldCharType="end"/>
        </w:r>
      </w:hyperlink>
    </w:p>
    <w:p w:rsidR="00F97B10" w:rsidRPr="00F97B10" w:rsidRDefault="00F97B10" w:rsidP="00F97B10">
      <w:pPr>
        <w:rPr>
          <w:lang w:val="en-US"/>
        </w:rPr>
      </w:pPr>
      <w:r>
        <w:rPr>
          <w:lang w:val="en-US"/>
        </w:rPr>
        <w:fldChar w:fldCharType="end"/>
      </w:r>
    </w:p>
    <w:p w:rsidR="00F97B10" w:rsidRDefault="00F97B10" w:rsidP="00F97B10">
      <w:pPr>
        <w:rPr>
          <w:lang w:val="en-US"/>
        </w:rPr>
      </w:pPr>
    </w:p>
    <w:p w:rsidR="00F97B10" w:rsidRDefault="00F97B10" w:rsidP="00F97B10">
      <w:pPr>
        <w:rPr>
          <w:lang w:val="en-US"/>
        </w:rPr>
        <w:sectPr w:rsidR="00F97B10" w:rsidSect="00D47BD5">
          <w:footerReference w:type="default" r:id="rId9"/>
          <w:headerReference w:type="first" r:id="rId10"/>
          <w:pgSz w:w="11907" w:h="16839" w:code="9"/>
          <w:pgMar w:top="2303" w:right="1134" w:bottom="1418" w:left="1985" w:header="709" w:footer="709" w:gutter="0"/>
          <w:cols w:space="708"/>
          <w:titlePg/>
          <w:docGrid w:linePitch="360"/>
        </w:sectPr>
      </w:pPr>
    </w:p>
    <w:p w:rsidR="00F97B10" w:rsidRDefault="00F97B10" w:rsidP="00F97B10">
      <w:pPr>
        <w:pStyle w:val="Heading1"/>
      </w:pPr>
      <w:bookmarkStart w:id="0" w:name="_Toc524354223"/>
      <w:r>
        <w:lastRenderedPageBreak/>
        <w:t>Introduction</w:t>
      </w:r>
      <w:bookmarkEnd w:id="0"/>
    </w:p>
    <w:p w:rsidR="00156EA4" w:rsidRPr="00156EA4" w:rsidRDefault="00156EA4" w:rsidP="00156EA4">
      <w:pPr>
        <w:pStyle w:val="NormalIndent"/>
      </w:pPr>
      <w:r w:rsidRPr="00156EA4">
        <w:t>The protection of persona</w:t>
      </w:r>
      <w:r w:rsidR="002D5EC3">
        <w:t>l</w:t>
      </w:r>
      <w:r w:rsidRPr="00156EA4">
        <w:t xml:space="preserve"> data is a fundamental right enshrined in Article 8 of the Charter of Fundamental Rights of the European Union (Charter). However, the right to personal data protection is not an absolute right and it may be limited if nec</w:t>
      </w:r>
      <w:r w:rsidRPr="00156EA4">
        <w:softHyphen/>
        <w:t xml:space="preserve">essary for an objective of general interest or to protect the rights and freedoms of others. This fundamental right has to </w:t>
      </w:r>
      <w:proofErr w:type="gramStart"/>
      <w:r w:rsidRPr="00156EA4">
        <w:t>be understood</w:t>
      </w:r>
      <w:proofErr w:type="gramEnd"/>
      <w:r w:rsidRPr="00156EA4">
        <w:t xml:space="preserve"> in conjunction with the right to respect for private and family life of Article 7 of the “Charter” and Article 8 of the European Convention of Human Rights (ECHR). </w:t>
      </w:r>
    </w:p>
    <w:p w:rsidR="00156EA4" w:rsidRPr="00156EA4" w:rsidRDefault="00156EA4" w:rsidP="00156EA4">
      <w:pPr>
        <w:pStyle w:val="NormalIndent"/>
      </w:pPr>
      <w:r w:rsidRPr="00156EA4">
        <w:t>The General Data Protection Regulation</w:t>
      </w:r>
      <w:r w:rsidRPr="00156EA4">
        <w:rPr>
          <w:vertAlign w:val="superscript"/>
        </w:rPr>
        <w:footnoteReference w:id="2"/>
      </w:r>
      <w:r w:rsidRPr="00156EA4">
        <w:t xml:space="preserve"> (GDPR) became directly applicable to the Member States on 25 May 2018. It strengthened the enforcement of the EU of people´s fundamental right to data protection. It introduced a risk-based approach to assessing data processing operations and put data protection compliance at the centre of organisations´ governance.</w:t>
      </w:r>
    </w:p>
    <w:p w:rsidR="00172385" w:rsidRPr="00172385" w:rsidRDefault="00156EA4" w:rsidP="00172385">
      <w:pPr>
        <w:pStyle w:val="NormalIndent"/>
        <w:rPr>
          <w:lang w:val="en-IE"/>
        </w:rPr>
      </w:pPr>
      <w:r w:rsidRPr="00156EA4">
        <w:t>In order to ensure a coherent and harmonised approach to data protection throughout the Union, EU Institutions´ and bodies´ data protection rules (Regulation (EC) 45/2001</w:t>
      </w:r>
      <w:r w:rsidRPr="00156EA4">
        <w:rPr>
          <w:vertAlign w:val="superscript"/>
        </w:rPr>
        <w:footnoteReference w:id="3"/>
      </w:r>
      <w:r w:rsidRPr="00156EA4">
        <w:t xml:space="preserve">) </w:t>
      </w:r>
      <w:proofErr w:type="gramStart"/>
      <w:r w:rsidR="00172385">
        <w:t>have</w:t>
      </w:r>
      <w:r w:rsidRPr="00156EA4">
        <w:t xml:space="preserve"> be</w:t>
      </w:r>
      <w:r w:rsidR="00172385">
        <w:t>en</w:t>
      </w:r>
      <w:r w:rsidRPr="00156EA4">
        <w:t xml:space="preserve"> aligned</w:t>
      </w:r>
      <w:proofErr w:type="gramEnd"/>
      <w:r w:rsidRPr="00156EA4">
        <w:t xml:space="preserve"> with the new arrangements. As a result, future data processing operations will be subject to higher standards of compliance. </w:t>
      </w:r>
      <w:proofErr w:type="gramStart"/>
      <w:r w:rsidRPr="00156EA4">
        <w:t xml:space="preserve">The EU Commission </w:t>
      </w:r>
      <w:r w:rsidR="00172385">
        <w:t xml:space="preserve">adopted on 23 October 2018 the new </w:t>
      </w:r>
      <w:r w:rsidR="00172385" w:rsidRPr="00172385">
        <w:rPr>
          <w:lang w:val="en-IE"/>
        </w:rPr>
        <w:t xml:space="preserve">Regulation (EU) No 2018/1725 of the European Parliament and of the Council of 23 October 2018 </w:t>
      </w:r>
      <w:r w:rsidR="00172385" w:rsidRPr="00172385">
        <w:rPr>
          <w:lang w:val="en"/>
        </w:rPr>
        <w:t>on the protection of individuals with regard to the processing of personal data by the Union institutions, bodies, offices and agencies and on the free movement of such data, and repealing Regulation (EC) No 45/2001 and Decision No 1247/2002/EC (the ‘EU Data Protection Regulation’).</w:t>
      </w:r>
      <w:proofErr w:type="gramEnd"/>
      <w:r w:rsidR="00172385">
        <w:rPr>
          <w:lang w:val="en"/>
        </w:rPr>
        <w:t xml:space="preserve"> These rules enter into force on 11 December 2018.</w:t>
      </w:r>
    </w:p>
    <w:p w:rsidR="00156EA4" w:rsidRPr="00156EA4" w:rsidRDefault="00156EA4" w:rsidP="00156EA4">
      <w:pPr>
        <w:pStyle w:val="NormalIndent"/>
      </w:pPr>
      <w:r w:rsidRPr="00156EA4">
        <w:t>Th</w:t>
      </w:r>
      <w:r w:rsidR="00172385">
        <w:t>is</w:t>
      </w:r>
      <w:r w:rsidRPr="00156EA4">
        <w:t xml:space="preserve"> Guide </w:t>
      </w:r>
      <w:proofErr w:type="gramStart"/>
      <w:r w:rsidRPr="00156EA4">
        <w:t>is based</w:t>
      </w:r>
      <w:proofErr w:type="gramEnd"/>
      <w:r w:rsidRPr="00156EA4">
        <w:t xml:space="preserve"> </w:t>
      </w:r>
      <w:r w:rsidR="00172385">
        <w:t>on the</w:t>
      </w:r>
      <w:r w:rsidRPr="00156EA4">
        <w:t xml:space="preserve"> text of the revised Regulation and on the EU Commission Guide to the Commission proposal for the revision of Regulation (EC) 45/2001. It is designed to assist the </w:t>
      </w:r>
      <w:r w:rsidR="00477878">
        <w:t>CPVO</w:t>
      </w:r>
      <w:r w:rsidRPr="00156EA4">
        <w:t xml:space="preserve"> staff prepare the adjustments of internal procedures and practices that will be necessary under the new data protection rules.</w:t>
      </w:r>
    </w:p>
    <w:p w:rsidR="00156EA4" w:rsidRPr="00F97B10" w:rsidRDefault="00156EA4" w:rsidP="00156EA4">
      <w:pPr>
        <w:pStyle w:val="NormalIndent"/>
        <w:rPr>
          <w:lang w:val="en-US"/>
        </w:rPr>
      </w:pPr>
      <w:r w:rsidRPr="00156EA4">
        <w:t xml:space="preserve">Please note that this is not an exhaustive guide: it presents the main changes to internal data protection rules and briefly summarises other relevant elements. The Data Protection Office intends to provide more detailed and comprehensive information.    </w:t>
      </w:r>
    </w:p>
    <w:p w:rsidR="00F97B10" w:rsidRDefault="00156EA4" w:rsidP="00F97B10">
      <w:pPr>
        <w:pStyle w:val="Heading1"/>
      </w:pPr>
      <w:bookmarkStart w:id="1" w:name="_Toc524354224"/>
      <w:r>
        <w:t xml:space="preserve">The </w:t>
      </w:r>
      <w:r w:rsidR="00172385">
        <w:t>new Regulation</w:t>
      </w:r>
      <w:r>
        <w:t xml:space="preserve"> at glance</w:t>
      </w:r>
      <w:bookmarkEnd w:id="1"/>
    </w:p>
    <w:p w:rsidR="00156EA4" w:rsidRPr="00156EA4" w:rsidRDefault="00156EA4" w:rsidP="00156EA4">
      <w:pPr>
        <w:pStyle w:val="NormalIndent"/>
        <w:numPr>
          <w:ilvl w:val="0"/>
          <w:numId w:val="32"/>
        </w:numPr>
      </w:pPr>
      <w:r w:rsidRPr="00156EA4">
        <w:t xml:space="preserve">The </w:t>
      </w:r>
      <w:r w:rsidR="00172385">
        <w:t>new Regulation</w:t>
      </w:r>
      <w:r w:rsidRPr="00156EA4">
        <w:t xml:space="preserve"> </w:t>
      </w:r>
      <w:r w:rsidR="00B94762" w:rsidRPr="00172385">
        <w:rPr>
          <w:lang w:val="en-IE"/>
        </w:rPr>
        <w:t xml:space="preserve">No 2018/1725 </w:t>
      </w:r>
      <w:r w:rsidRPr="00156EA4">
        <w:t>does not change the substance of the legal framework governing the processing of personal data by the EU institutions and bodies; rather, it clarifies and strengthens key concepts and principles.</w:t>
      </w:r>
    </w:p>
    <w:p w:rsidR="00156EA4" w:rsidRDefault="00156EA4" w:rsidP="00156EA4">
      <w:pPr>
        <w:pStyle w:val="NormalIndent"/>
        <w:numPr>
          <w:ilvl w:val="0"/>
          <w:numId w:val="32"/>
        </w:numPr>
      </w:pPr>
      <w:r w:rsidRPr="00156EA4">
        <w:t xml:space="preserve">In addition to introducing a risk-based approach, it places greater emphasis on transparency and </w:t>
      </w:r>
      <w:r w:rsidRPr="00156EA4">
        <w:rPr>
          <w:b/>
        </w:rPr>
        <w:t>accountability</w:t>
      </w:r>
      <w:r w:rsidRPr="00156EA4">
        <w:rPr>
          <w:b/>
          <w:vertAlign w:val="superscript"/>
        </w:rPr>
        <w:footnoteReference w:id="4"/>
      </w:r>
      <w:r w:rsidRPr="00156EA4">
        <w:t xml:space="preserve">. </w:t>
      </w:r>
    </w:p>
    <w:p w:rsidR="00156EA4" w:rsidRPr="00156EA4" w:rsidRDefault="00156EA4" w:rsidP="00156EA4">
      <w:pPr>
        <w:pStyle w:val="NormalIndent"/>
        <w:numPr>
          <w:ilvl w:val="0"/>
          <w:numId w:val="32"/>
        </w:numPr>
      </w:pPr>
      <w:r w:rsidRPr="00156EA4">
        <w:t xml:space="preserve">It uses new concepts such as </w:t>
      </w:r>
      <w:r w:rsidRPr="00156EA4">
        <w:rPr>
          <w:b/>
        </w:rPr>
        <w:t>data protection by design</w:t>
      </w:r>
      <w:r w:rsidRPr="00156EA4">
        <w:t xml:space="preserve"> and </w:t>
      </w:r>
      <w:r w:rsidRPr="00156EA4">
        <w:rPr>
          <w:b/>
        </w:rPr>
        <w:t>by default</w:t>
      </w:r>
      <w:r w:rsidRPr="00156EA4">
        <w:rPr>
          <w:b/>
          <w:vertAlign w:val="superscript"/>
        </w:rPr>
        <w:footnoteReference w:id="5"/>
      </w:r>
      <w:r w:rsidRPr="00156EA4">
        <w:t xml:space="preserve">. </w:t>
      </w:r>
    </w:p>
    <w:p w:rsidR="00156EA4" w:rsidRPr="00156EA4" w:rsidRDefault="00156EA4" w:rsidP="00156EA4">
      <w:pPr>
        <w:pStyle w:val="NormalIndent"/>
        <w:numPr>
          <w:ilvl w:val="0"/>
          <w:numId w:val="32"/>
        </w:numPr>
      </w:pPr>
      <w:r w:rsidRPr="00156EA4">
        <w:lastRenderedPageBreak/>
        <w:t>The following rights of data subjects are improved or clarified:</w:t>
      </w:r>
    </w:p>
    <w:p w:rsidR="00156EA4" w:rsidRPr="00156EA4" w:rsidRDefault="00156EA4" w:rsidP="00156EA4">
      <w:pPr>
        <w:pStyle w:val="NormalIndent"/>
        <w:numPr>
          <w:ilvl w:val="0"/>
          <w:numId w:val="33"/>
        </w:numPr>
      </w:pPr>
      <w:r w:rsidRPr="00156EA4">
        <w:t>the ´</w:t>
      </w:r>
      <w:r w:rsidRPr="00156EA4">
        <w:rPr>
          <w:b/>
          <w:i/>
        </w:rPr>
        <w:t>right to be forgotten</w:t>
      </w:r>
      <w:r w:rsidRPr="00156EA4">
        <w:t>´; and</w:t>
      </w:r>
    </w:p>
    <w:p w:rsidR="00156EA4" w:rsidRPr="00156EA4" w:rsidRDefault="00156EA4" w:rsidP="00156EA4">
      <w:pPr>
        <w:pStyle w:val="NormalIndent"/>
        <w:numPr>
          <w:ilvl w:val="0"/>
          <w:numId w:val="33"/>
        </w:numPr>
      </w:pPr>
      <w:proofErr w:type="gramStart"/>
      <w:r w:rsidRPr="00156EA4">
        <w:t>the</w:t>
      </w:r>
      <w:proofErr w:type="gramEnd"/>
      <w:r w:rsidRPr="00156EA4">
        <w:t xml:space="preserve"> </w:t>
      </w:r>
      <w:r w:rsidRPr="00156EA4">
        <w:rPr>
          <w:b/>
          <w:i/>
        </w:rPr>
        <w:t>right to data portability</w:t>
      </w:r>
      <w:r w:rsidRPr="00156EA4">
        <w:t xml:space="preserve">. </w:t>
      </w:r>
    </w:p>
    <w:p w:rsidR="00156EA4" w:rsidRPr="00156EA4" w:rsidRDefault="00156EA4" w:rsidP="00156EA4">
      <w:pPr>
        <w:pStyle w:val="NormalIndent"/>
      </w:pPr>
      <w:proofErr w:type="gramStart"/>
      <w:r w:rsidRPr="00156EA4">
        <w:t>Also</w:t>
      </w:r>
      <w:proofErr w:type="gramEnd"/>
      <w:r w:rsidRPr="00156EA4">
        <w:t xml:space="preserve">, in some cases, the use of their data is subject to their explicit, specific and revocable consent. </w:t>
      </w:r>
    </w:p>
    <w:p w:rsidR="00156EA4" w:rsidRPr="00156EA4" w:rsidRDefault="00156EA4" w:rsidP="00156EA4">
      <w:pPr>
        <w:pStyle w:val="NormalIndent"/>
        <w:numPr>
          <w:ilvl w:val="0"/>
          <w:numId w:val="34"/>
        </w:numPr>
      </w:pPr>
      <w:r w:rsidRPr="00156EA4">
        <w:rPr>
          <w:b/>
        </w:rPr>
        <w:t>New obligations</w:t>
      </w:r>
      <w:r w:rsidRPr="00156EA4">
        <w:t xml:space="preserve"> require controllers to carry out </w:t>
      </w:r>
      <w:proofErr w:type="gramStart"/>
      <w:r w:rsidRPr="00156EA4">
        <w:t>data protection impact assessments</w:t>
      </w:r>
      <w:proofErr w:type="gramEnd"/>
      <w:r w:rsidRPr="00156EA4">
        <w:t xml:space="preserve"> (DPIAs), to notify personal data breaches to the EU Data Protection Supervisor (EDPS) and to the data subjects, and to document processing activities. On the other hand, administrative burden </w:t>
      </w:r>
      <w:proofErr w:type="gramStart"/>
      <w:r w:rsidRPr="00156EA4">
        <w:t>is lessened</w:t>
      </w:r>
      <w:proofErr w:type="gramEnd"/>
      <w:r w:rsidRPr="00156EA4">
        <w:t xml:space="preserve"> by the removal of the obligations to notify the DPO and carry out prior check procedure.</w:t>
      </w:r>
    </w:p>
    <w:p w:rsidR="00156EA4" w:rsidRPr="00156EA4" w:rsidRDefault="00156EA4" w:rsidP="00156EA4">
      <w:pPr>
        <w:pStyle w:val="NormalIndent"/>
        <w:numPr>
          <w:ilvl w:val="0"/>
          <w:numId w:val="34"/>
        </w:numPr>
      </w:pPr>
      <w:r w:rsidRPr="00156EA4">
        <w:t xml:space="preserve">The EDPS can impose </w:t>
      </w:r>
      <w:r w:rsidRPr="00156EA4">
        <w:rPr>
          <w:b/>
        </w:rPr>
        <w:t>administrative fines</w:t>
      </w:r>
      <w:r w:rsidRPr="00156EA4">
        <w:t xml:space="preserve">. </w:t>
      </w:r>
    </w:p>
    <w:p w:rsidR="00156EA4" w:rsidRPr="00156EA4" w:rsidRDefault="00156EA4" w:rsidP="00156EA4">
      <w:pPr>
        <w:pStyle w:val="NormalIndent"/>
        <w:numPr>
          <w:ilvl w:val="0"/>
          <w:numId w:val="34"/>
        </w:numPr>
      </w:pPr>
      <w:r w:rsidRPr="00156EA4">
        <w:t xml:space="preserve">The </w:t>
      </w:r>
      <w:r w:rsidRPr="00156EA4">
        <w:rPr>
          <w:b/>
        </w:rPr>
        <w:t xml:space="preserve">DPO </w:t>
      </w:r>
      <w:proofErr w:type="gramStart"/>
      <w:r w:rsidRPr="00156EA4">
        <w:t>is tasked</w:t>
      </w:r>
      <w:proofErr w:type="gramEnd"/>
      <w:r w:rsidRPr="00156EA4">
        <w:t xml:space="preserve"> with monitoring institutions´ compliance with the Regulation and with their internal policies. </w:t>
      </w:r>
    </w:p>
    <w:p w:rsidR="00156EA4" w:rsidRPr="00156EA4" w:rsidRDefault="00156EA4" w:rsidP="00156EA4">
      <w:pPr>
        <w:pStyle w:val="NormalIndent"/>
        <w:numPr>
          <w:ilvl w:val="0"/>
          <w:numId w:val="34"/>
        </w:numPr>
      </w:pPr>
      <w:r w:rsidRPr="00156EA4">
        <w:t xml:space="preserve">The EDPS´s powers, in terms of supervision, enforcement and legislative consultation, remain broadly unchanged. </w:t>
      </w:r>
    </w:p>
    <w:p w:rsidR="00F97B10" w:rsidRDefault="00156EA4" w:rsidP="00F97B10">
      <w:pPr>
        <w:pStyle w:val="Heading1"/>
      </w:pPr>
      <w:bookmarkStart w:id="2" w:name="_Toc524354225"/>
      <w:r>
        <w:t>Concepts and definitions</w:t>
      </w:r>
      <w:bookmarkEnd w:id="2"/>
    </w:p>
    <w:p w:rsidR="00156EA4" w:rsidRPr="00156EA4" w:rsidRDefault="00156EA4" w:rsidP="00156EA4">
      <w:pPr>
        <w:pStyle w:val="NormalIndent"/>
        <w:rPr>
          <w:lang w:val="en-US"/>
        </w:rPr>
      </w:pPr>
      <w:r w:rsidRPr="00156EA4">
        <w:rPr>
          <w:lang w:val="en-US"/>
        </w:rPr>
        <w:t>The new Regulation uses the same definitions as the GDPR and the e-Privacy Regulation</w:t>
      </w:r>
      <w:r w:rsidR="00477878">
        <w:rPr>
          <w:rStyle w:val="FootnoteReference"/>
          <w:lang w:val="en-US"/>
        </w:rPr>
        <w:footnoteReference w:id="6"/>
      </w:r>
      <w:r w:rsidRPr="00156EA4">
        <w:rPr>
          <w:lang w:val="en-US"/>
        </w:rPr>
        <w:t xml:space="preserve"> . New elements are as follows:</w:t>
      </w:r>
    </w:p>
    <w:p w:rsidR="00F97B10" w:rsidRDefault="00156EA4" w:rsidP="00F97B10">
      <w:pPr>
        <w:pStyle w:val="Heading2"/>
      </w:pPr>
      <w:bookmarkStart w:id="3" w:name="_Toc524354226"/>
      <w:r>
        <w:t>Principles</w:t>
      </w:r>
      <w:bookmarkEnd w:id="3"/>
    </w:p>
    <w:p w:rsidR="00156EA4" w:rsidRPr="00156EA4" w:rsidRDefault="00156EA4" w:rsidP="00E62236">
      <w:pPr>
        <w:ind w:left="567"/>
        <w:rPr>
          <w:color w:val="000000" w:themeColor="text1"/>
        </w:rPr>
      </w:pPr>
      <w:r w:rsidRPr="00156EA4">
        <w:rPr>
          <w:color w:val="000000" w:themeColor="text1"/>
        </w:rPr>
        <w:t xml:space="preserve">The </w:t>
      </w:r>
      <w:r w:rsidR="00172385">
        <w:rPr>
          <w:color w:val="000000" w:themeColor="text1"/>
        </w:rPr>
        <w:t>new Regulation</w:t>
      </w:r>
      <w:r w:rsidR="00B94762">
        <w:rPr>
          <w:color w:val="000000" w:themeColor="text1"/>
        </w:rPr>
        <w:t xml:space="preserve"> </w:t>
      </w:r>
      <w:r w:rsidR="00B94762" w:rsidRPr="00172385">
        <w:rPr>
          <w:lang w:val="en-IE"/>
        </w:rPr>
        <w:t xml:space="preserve">No 2018/1725 </w:t>
      </w:r>
      <w:r w:rsidRPr="00156EA4">
        <w:rPr>
          <w:color w:val="000000" w:themeColor="text1"/>
        </w:rPr>
        <w:t>lists in a more systematic way the principles relating to the processing of personal data:</w:t>
      </w:r>
    </w:p>
    <w:p w:rsidR="00156EA4" w:rsidRPr="004673D6" w:rsidRDefault="00156EA4" w:rsidP="004673D6">
      <w:pPr>
        <w:pStyle w:val="NormalIndent"/>
        <w:numPr>
          <w:ilvl w:val="0"/>
          <w:numId w:val="39"/>
        </w:numPr>
        <w:rPr>
          <w:lang w:val="en-US"/>
        </w:rPr>
      </w:pPr>
      <w:r w:rsidRPr="004673D6">
        <w:rPr>
          <w:lang w:val="en-US"/>
        </w:rPr>
        <w:t>lawfulness, fairness and transparency;</w:t>
      </w:r>
    </w:p>
    <w:p w:rsidR="00156EA4" w:rsidRPr="004673D6" w:rsidRDefault="00156EA4" w:rsidP="004673D6">
      <w:pPr>
        <w:pStyle w:val="NormalIndent"/>
        <w:numPr>
          <w:ilvl w:val="0"/>
          <w:numId w:val="39"/>
        </w:numPr>
        <w:rPr>
          <w:lang w:val="en-US"/>
        </w:rPr>
      </w:pPr>
      <w:r w:rsidRPr="004673D6">
        <w:rPr>
          <w:lang w:val="en-US"/>
        </w:rPr>
        <w:t>purpose limitation;</w:t>
      </w:r>
    </w:p>
    <w:p w:rsidR="00156EA4" w:rsidRPr="004673D6" w:rsidRDefault="00156EA4" w:rsidP="004673D6">
      <w:pPr>
        <w:pStyle w:val="NormalIndent"/>
        <w:numPr>
          <w:ilvl w:val="0"/>
          <w:numId w:val="39"/>
        </w:numPr>
        <w:rPr>
          <w:lang w:val="en-US"/>
        </w:rPr>
      </w:pPr>
      <w:r w:rsidRPr="004673D6">
        <w:rPr>
          <w:lang w:val="en-US"/>
        </w:rPr>
        <w:t>data minimisation;</w:t>
      </w:r>
    </w:p>
    <w:p w:rsidR="00156EA4" w:rsidRPr="004673D6" w:rsidRDefault="00156EA4" w:rsidP="004673D6">
      <w:pPr>
        <w:pStyle w:val="NormalIndent"/>
        <w:numPr>
          <w:ilvl w:val="0"/>
          <w:numId w:val="39"/>
        </w:numPr>
        <w:rPr>
          <w:lang w:val="en-US"/>
        </w:rPr>
      </w:pPr>
      <w:r w:rsidRPr="004673D6">
        <w:rPr>
          <w:lang w:val="en-US"/>
        </w:rPr>
        <w:t>accuracy;</w:t>
      </w:r>
    </w:p>
    <w:p w:rsidR="00156EA4" w:rsidRPr="004673D6" w:rsidRDefault="00156EA4" w:rsidP="004673D6">
      <w:pPr>
        <w:pStyle w:val="NormalIndent"/>
        <w:numPr>
          <w:ilvl w:val="0"/>
          <w:numId w:val="39"/>
        </w:numPr>
        <w:rPr>
          <w:lang w:val="en-US"/>
        </w:rPr>
      </w:pPr>
      <w:r w:rsidRPr="004673D6">
        <w:rPr>
          <w:lang w:val="en-US"/>
        </w:rPr>
        <w:t xml:space="preserve">storage limitation; </w:t>
      </w:r>
    </w:p>
    <w:p w:rsidR="00156EA4" w:rsidRPr="004673D6" w:rsidRDefault="00156EA4" w:rsidP="004673D6">
      <w:pPr>
        <w:pStyle w:val="NormalIndent"/>
        <w:numPr>
          <w:ilvl w:val="0"/>
          <w:numId w:val="39"/>
        </w:numPr>
        <w:rPr>
          <w:lang w:val="en-US"/>
        </w:rPr>
      </w:pPr>
      <w:r w:rsidRPr="004673D6">
        <w:rPr>
          <w:lang w:val="en-US"/>
        </w:rPr>
        <w:t>integrity and confidentiality; and</w:t>
      </w:r>
    </w:p>
    <w:p w:rsidR="00156EA4" w:rsidRPr="004673D6" w:rsidRDefault="00156EA4" w:rsidP="004673D6">
      <w:pPr>
        <w:pStyle w:val="NormalIndent"/>
        <w:numPr>
          <w:ilvl w:val="0"/>
          <w:numId w:val="39"/>
        </w:numPr>
        <w:rPr>
          <w:lang w:val="en-US"/>
        </w:rPr>
      </w:pPr>
      <w:proofErr w:type="gramStart"/>
      <w:r w:rsidRPr="004673D6">
        <w:rPr>
          <w:lang w:val="en-US"/>
        </w:rPr>
        <w:t>accountability</w:t>
      </w:r>
      <w:proofErr w:type="gramEnd"/>
      <w:r w:rsidRPr="004673D6">
        <w:rPr>
          <w:lang w:val="en-US"/>
        </w:rPr>
        <w:t xml:space="preserve">. </w:t>
      </w:r>
    </w:p>
    <w:p w:rsidR="00156EA4" w:rsidRDefault="00156EA4" w:rsidP="00156EA4">
      <w:pPr>
        <w:pStyle w:val="Heading2"/>
      </w:pPr>
      <w:bookmarkStart w:id="4" w:name="_Toc524354227"/>
      <w:r>
        <w:t>Processing for another compatible purpose (Article 6)</w:t>
      </w:r>
      <w:bookmarkEnd w:id="4"/>
    </w:p>
    <w:p w:rsidR="00581154" w:rsidRPr="00581154" w:rsidRDefault="00581154" w:rsidP="00581154">
      <w:pPr>
        <w:pStyle w:val="NormalIndent"/>
      </w:pPr>
      <w:r w:rsidRPr="00581154">
        <w:t xml:space="preserve">The processing of personal data for purposes other than originals ones </w:t>
      </w:r>
      <w:proofErr w:type="gramStart"/>
      <w:r w:rsidRPr="00581154">
        <w:t>can be foreseen</w:t>
      </w:r>
      <w:proofErr w:type="gramEnd"/>
      <w:r w:rsidRPr="00581154">
        <w:t xml:space="preserve"> as long as the new purpose is compatible with the purposes for which the personal data were initially collected. This dimension of the purpose limitation principle may avoid the need of an additional legal basis separate from </w:t>
      </w:r>
      <w:proofErr w:type="gramStart"/>
      <w:r w:rsidRPr="00581154">
        <w:t>that which</w:t>
      </w:r>
      <w:proofErr w:type="gramEnd"/>
      <w:r w:rsidRPr="00581154">
        <w:t xml:space="preserve"> allowed the original collection of the personal data. Considering a new purpose compatible with the original purpose requires a close to look at: </w:t>
      </w:r>
    </w:p>
    <w:p w:rsidR="00581154" w:rsidRPr="00581154" w:rsidRDefault="00581154" w:rsidP="00581154">
      <w:pPr>
        <w:pStyle w:val="NormalIndent"/>
      </w:pPr>
    </w:p>
    <w:p w:rsidR="00581154" w:rsidRPr="004673D6" w:rsidRDefault="00581154" w:rsidP="004673D6">
      <w:pPr>
        <w:pStyle w:val="NormalIndent"/>
        <w:numPr>
          <w:ilvl w:val="0"/>
          <w:numId w:val="39"/>
        </w:numPr>
        <w:rPr>
          <w:lang w:val="en-US"/>
        </w:rPr>
      </w:pPr>
      <w:r w:rsidRPr="004673D6">
        <w:rPr>
          <w:lang w:val="en-US"/>
        </w:rPr>
        <w:lastRenderedPageBreak/>
        <w:t xml:space="preserve">Any link between the purposes for which the personal data have been collected and the purposes of the intended further processing; </w:t>
      </w:r>
    </w:p>
    <w:p w:rsidR="00581154" w:rsidRPr="004673D6" w:rsidRDefault="00581154" w:rsidP="004673D6">
      <w:pPr>
        <w:pStyle w:val="NormalIndent"/>
        <w:numPr>
          <w:ilvl w:val="0"/>
          <w:numId w:val="39"/>
        </w:numPr>
        <w:rPr>
          <w:lang w:val="en-US"/>
        </w:rPr>
      </w:pPr>
      <w:r w:rsidRPr="004673D6">
        <w:rPr>
          <w:lang w:val="en-US"/>
        </w:rPr>
        <w:t>the context in which the personal data have been collected, in particular regarding the relationship between data subjects and the controller;</w:t>
      </w:r>
    </w:p>
    <w:p w:rsidR="00581154" w:rsidRPr="004673D6" w:rsidRDefault="00581154" w:rsidP="004673D6">
      <w:pPr>
        <w:pStyle w:val="NormalIndent"/>
        <w:numPr>
          <w:ilvl w:val="0"/>
          <w:numId w:val="39"/>
        </w:numPr>
        <w:rPr>
          <w:lang w:val="en-US"/>
        </w:rPr>
      </w:pPr>
      <w:r w:rsidRPr="004673D6">
        <w:rPr>
          <w:lang w:val="en-US"/>
        </w:rPr>
        <w:t>the nature of the personal data,</w:t>
      </w:r>
    </w:p>
    <w:p w:rsidR="00581154" w:rsidRPr="004673D6" w:rsidRDefault="00581154" w:rsidP="004673D6">
      <w:pPr>
        <w:pStyle w:val="NormalIndent"/>
        <w:numPr>
          <w:ilvl w:val="0"/>
          <w:numId w:val="39"/>
        </w:numPr>
        <w:rPr>
          <w:lang w:val="en-US"/>
        </w:rPr>
      </w:pPr>
      <w:r w:rsidRPr="004673D6">
        <w:rPr>
          <w:lang w:val="en-US"/>
        </w:rPr>
        <w:t xml:space="preserve">the possible consequences of the intended further processing for data subjects; </w:t>
      </w:r>
    </w:p>
    <w:p w:rsidR="00581154" w:rsidRPr="004673D6" w:rsidRDefault="00581154" w:rsidP="004673D6">
      <w:pPr>
        <w:pStyle w:val="NormalIndent"/>
        <w:numPr>
          <w:ilvl w:val="0"/>
          <w:numId w:val="39"/>
        </w:numPr>
        <w:rPr>
          <w:lang w:val="en-US"/>
        </w:rPr>
      </w:pPr>
      <w:proofErr w:type="gramStart"/>
      <w:r w:rsidRPr="004673D6">
        <w:rPr>
          <w:lang w:val="en-US"/>
        </w:rPr>
        <w:t>the</w:t>
      </w:r>
      <w:proofErr w:type="gramEnd"/>
      <w:r w:rsidRPr="004673D6">
        <w:rPr>
          <w:lang w:val="en-US"/>
        </w:rPr>
        <w:t xml:space="preserve"> existence of appropriate safeguards, which may include encryption or </w:t>
      </w:r>
      <w:proofErr w:type="spellStart"/>
      <w:r w:rsidRPr="004673D6">
        <w:rPr>
          <w:lang w:val="en-US"/>
        </w:rPr>
        <w:t>pseudonymisation</w:t>
      </w:r>
      <w:proofErr w:type="spellEnd"/>
      <w:r w:rsidRPr="004673D6">
        <w:rPr>
          <w:lang w:val="en-US"/>
        </w:rPr>
        <w:t>.</w:t>
      </w:r>
    </w:p>
    <w:p w:rsidR="00581154" w:rsidRDefault="00581154" w:rsidP="00581154">
      <w:pPr>
        <w:pStyle w:val="Heading2"/>
      </w:pPr>
      <w:bookmarkStart w:id="5" w:name="_Toc524354228"/>
      <w:r w:rsidRPr="00581154">
        <w:t>Special categories of data (Article 10)</w:t>
      </w:r>
      <w:bookmarkEnd w:id="5"/>
    </w:p>
    <w:p w:rsidR="00581154" w:rsidRPr="00581154" w:rsidRDefault="00581154" w:rsidP="00581154">
      <w:pPr>
        <w:pStyle w:val="NormalIndent"/>
        <w:rPr>
          <w:lang w:val="en-US"/>
        </w:rPr>
      </w:pPr>
      <w:r w:rsidRPr="00581154">
        <w:rPr>
          <w:lang w:val="en-US"/>
        </w:rPr>
        <w:t>The definition of ´special categories´ of data (data revealing: racial or ethnic origin, political opinions, religious or philosophical beliefs, or trade-union membership and data concerning health) is extended to genetic or biometric data used to identify a natural person, and data concerning a person´s sex life and sexual orientation.</w:t>
      </w:r>
    </w:p>
    <w:p w:rsidR="00581154" w:rsidRPr="00581154" w:rsidRDefault="00581154" w:rsidP="00581154">
      <w:pPr>
        <w:pStyle w:val="NormalIndent"/>
        <w:rPr>
          <w:lang w:val="en-US"/>
        </w:rPr>
      </w:pPr>
      <w:r w:rsidRPr="00581154">
        <w:rPr>
          <w:lang w:val="en-US"/>
        </w:rPr>
        <w:t xml:space="preserve">The rule on the processing of special category remains the same: it </w:t>
      </w:r>
      <w:proofErr w:type="gramStart"/>
      <w:r w:rsidRPr="00581154">
        <w:rPr>
          <w:lang w:val="en-US"/>
        </w:rPr>
        <w:t>is prohibited</w:t>
      </w:r>
      <w:proofErr w:type="gramEnd"/>
      <w:r w:rsidRPr="00581154">
        <w:rPr>
          <w:lang w:val="en-US"/>
        </w:rPr>
        <w:t xml:space="preserve"> except in certain clearly defined circumstances. However, the proposal does add new exceptions – such data </w:t>
      </w:r>
      <w:proofErr w:type="gramStart"/>
      <w:r w:rsidRPr="00581154">
        <w:rPr>
          <w:lang w:val="en-US"/>
        </w:rPr>
        <w:t>can be processed</w:t>
      </w:r>
      <w:proofErr w:type="gramEnd"/>
      <w:r w:rsidRPr="00581154">
        <w:rPr>
          <w:lang w:val="en-US"/>
        </w:rPr>
        <w:t>:</w:t>
      </w:r>
    </w:p>
    <w:p w:rsidR="00581154" w:rsidRPr="004673D6" w:rsidRDefault="00581154" w:rsidP="004673D6">
      <w:pPr>
        <w:pStyle w:val="NormalIndent"/>
        <w:numPr>
          <w:ilvl w:val="0"/>
          <w:numId w:val="39"/>
        </w:numPr>
        <w:rPr>
          <w:lang w:val="en-US"/>
        </w:rPr>
      </w:pPr>
      <w:r w:rsidRPr="004673D6">
        <w:rPr>
          <w:lang w:val="en-US"/>
        </w:rPr>
        <w:t>When necessary for reasons of public interest in the area of public health;</w:t>
      </w:r>
    </w:p>
    <w:p w:rsidR="00581154" w:rsidRPr="004673D6" w:rsidRDefault="00581154" w:rsidP="004673D6">
      <w:pPr>
        <w:pStyle w:val="NormalIndent"/>
        <w:numPr>
          <w:ilvl w:val="0"/>
          <w:numId w:val="39"/>
        </w:numPr>
        <w:rPr>
          <w:lang w:val="en-US"/>
        </w:rPr>
      </w:pPr>
      <w:r w:rsidRPr="004673D6">
        <w:rPr>
          <w:lang w:val="en-US"/>
        </w:rPr>
        <w:t>For archiving purposes in the public interest; and</w:t>
      </w:r>
    </w:p>
    <w:p w:rsidR="00581154" w:rsidRPr="004673D6" w:rsidRDefault="00581154" w:rsidP="004673D6">
      <w:pPr>
        <w:pStyle w:val="NormalIndent"/>
        <w:numPr>
          <w:ilvl w:val="0"/>
          <w:numId w:val="39"/>
        </w:numPr>
        <w:rPr>
          <w:lang w:val="en-US"/>
        </w:rPr>
      </w:pPr>
      <w:r w:rsidRPr="004673D6">
        <w:rPr>
          <w:lang w:val="en-US"/>
        </w:rPr>
        <w:t>In order for health professionals to assess and employee´s capacity to work (subject to the obligation of professional secrecy).</w:t>
      </w:r>
    </w:p>
    <w:p w:rsidR="004673D6" w:rsidRDefault="004673D6" w:rsidP="004673D6">
      <w:pPr>
        <w:pStyle w:val="Heading2"/>
      </w:pPr>
      <w:bookmarkStart w:id="6" w:name="_Toc524354229"/>
      <w:r w:rsidRPr="004673D6">
        <w:t>Joint controllership (Article 28)</w:t>
      </w:r>
      <w:bookmarkEnd w:id="6"/>
    </w:p>
    <w:p w:rsidR="004673D6" w:rsidRPr="004673D6" w:rsidRDefault="004673D6" w:rsidP="004673D6">
      <w:pPr>
        <w:pStyle w:val="NormalIndent"/>
        <w:rPr>
          <w:lang w:val="en-US"/>
        </w:rPr>
      </w:pPr>
      <w:proofErr w:type="gramStart"/>
      <w:r w:rsidRPr="004673D6">
        <w:rPr>
          <w:lang w:val="en-US"/>
        </w:rPr>
        <w:t xml:space="preserve">The definition of ´controller´ in </w:t>
      </w:r>
      <w:r w:rsidR="00172385">
        <w:rPr>
          <w:lang w:val="en-US"/>
        </w:rPr>
        <w:t xml:space="preserve">the old </w:t>
      </w:r>
      <w:r w:rsidRPr="004673D6">
        <w:rPr>
          <w:lang w:val="en-US"/>
        </w:rPr>
        <w:t>Regulation (EC) 45/2001 already allow</w:t>
      </w:r>
      <w:r w:rsidR="00172385">
        <w:rPr>
          <w:lang w:val="en-US"/>
        </w:rPr>
        <w:t>ed</w:t>
      </w:r>
      <w:r w:rsidRPr="004673D6">
        <w:rPr>
          <w:lang w:val="en-US"/>
        </w:rPr>
        <w:t xml:space="preserve"> for joint controllership, but the new rules include separate article on this, defining it as a situation where a ´a Union institutions or body together with one or more controllers or controllers, which may be or not be Union institutions and bodies, jointly determine the purposes and means of the processing´.</w:t>
      </w:r>
      <w:proofErr w:type="gramEnd"/>
      <w:r w:rsidRPr="004673D6">
        <w:rPr>
          <w:lang w:val="en-US"/>
        </w:rPr>
        <w:t xml:space="preserve"> Joint controllers must establish their roles and respective responsibilities in a transparent manner in the light of their data protection obligations. They have to design a contact point for data subjects and give them access to information on the essential points of the arrangements in place.</w:t>
      </w:r>
    </w:p>
    <w:p w:rsidR="00581154" w:rsidRDefault="004673D6" w:rsidP="004673D6">
      <w:pPr>
        <w:pStyle w:val="Heading1"/>
      </w:pPr>
      <w:bookmarkStart w:id="7" w:name="_Toc524354230"/>
      <w:r>
        <w:t>Improved right for data subjects</w:t>
      </w:r>
      <w:bookmarkEnd w:id="7"/>
    </w:p>
    <w:p w:rsidR="004673D6" w:rsidRDefault="004673D6" w:rsidP="004673D6">
      <w:pPr>
        <w:pStyle w:val="Heading2"/>
      </w:pPr>
      <w:bookmarkStart w:id="8" w:name="_Toc524354231"/>
      <w:r>
        <w:t>Transparency (Article 14)</w:t>
      </w:r>
      <w:bookmarkEnd w:id="8"/>
    </w:p>
    <w:p w:rsidR="004673D6" w:rsidRDefault="004673D6" w:rsidP="004673D6">
      <w:pPr>
        <w:pStyle w:val="NormalIndent"/>
        <w:rPr>
          <w:lang w:val="en-US"/>
        </w:rPr>
      </w:pPr>
      <w:r w:rsidRPr="004673D6">
        <w:rPr>
          <w:lang w:val="en-US"/>
        </w:rPr>
        <w:t>The controller must help data subjects to exercise their rights by facilitating access to information and presenting it in clear, plain language. In practice, this means that privacy and data protection notices and statements must be more readily available and drafted concisely, transparently and intelligibly.</w:t>
      </w:r>
    </w:p>
    <w:p w:rsidR="004673D6" w:rsidRDefault="004673D6" w:rsidP="004673D6">
      <w:pPr>
        <w:pStyle w:val="Heading2"/>
      </w:pPr>
      <w:bookmarkStart w:id="9" w:name="_Toc524354232"/>
      <w:r w:rsidRPr="004673D6">
        <w:t>Right to erasure (‘Right to be forgotten’) (Article 19)</w:t>
      </w:r>
      <w:bookmarkEnd w:id="9"/>
    </w:p>
    <w:p w:rsidR="004673D6" w:rsidRPr="004673D6" w:rsidRDefault="004673D6" w:rsidP="004673D6">
      <w:pPr>
        <w:pStyle w:val="NormalIndent"/>
        <w:rPr>
          <w:lang w:val="en-US"/>
        </w:rPr>
      </w:pPr>
      <w:r w:rsidRPr="004673D6">
        <w:rPr>
          <w:lang w:val="en-US"/>
        </w:rPr>
        <w:t>A person can request erasure of his/her personal data if:</w:t>
      </w:r>
    </w:p>
    <w:p w:rsidR="004673D6" w:rsidRPr="004673D6" w:rsidRDefault="004673D6" w:rsidP="004673D6">
      <w:pPr>
        <w:pStyle w:val="NormalIndent"/>
        <w:numPr>
          <w:ilvl w:val="0"/>
          <w:numId w:val="39"/>
        </w:numPr>
        <w:rPr>
          <w:lang w:val="en-US"/>
        </w:rPr>
      </w:pPr>
      <w:r w:rsidRPr="004673D6">
        <w:rPr>
          <w:lang w:val="en-US"/>
        </w:rPr>
        <w:t>it is no longer necessary for the purpose for which it was collected;</w:t>
      </w:r>
    </w:p>
    <w:p w:rsidR="004673D6" w:rsidRPr="004673D6" w:rsidRDefault="004673D6" w:rsidP="004673D6">
      <w:pPr>
        <w:pStyle w:val="NormalIndent"/>
        <w:numPr>
          <w:ilvl w:val="0"/>
          <w:numId w:val="39"/>
        </w:numPr>
        <w:rPr>
          <w:lang w:val="en-US"/>
        </w:rPr>
      </w:pPr>
      <w:r w:rsidRPr="004673D6">
        <w:rPr>
          <w:lang w:val="en-US"/>
        </w:rPr>
        <w:t>he/she objects to, or withdraws consent for, its processing; or</w:t>
      </w:r>
    </w:p>
    <w:p w:rsidR="004673D6" w:rsidRPr="004673D6" w:rsidRDefault="004673D6" w:rsidP="004673D6">
      <w:pPr>
        <w:pStyle w:val="NormalIndent"/>
        <w:numPr>
          <w:ilvl w:val="0"/>
          <w:numId w:val="39"/>
        </w:numPr>
        <w:rPr>
          <w:lang w:val="en-US"/>
        </w:rPr>
      </w:pPr>
      <w:proofErr w:type="gramStart"/>
      <w:r w:rsidRPr="004673D6">
        <w:rPr>
          <w:lang w:val="en-US"/>
        </w:rPr>
        <w:t>the</w:t>
      </w:r>
      <w:proofErr w:type="gramEnd"/>
      <w:r w:rsidRPr="004673D6">
        <w:rPr>
          <w:lang w:val="en-US"/>
        </w:rPr>
        <w:t xml:space="preserve"> processing has been unlawful.</w:t>
      </w:r>
    </w:p>
    <w:p w:rsidR="004673D6" w:rsidRPr="004673D6" w:rsidRDefault="004673D6" w:rsidP="004673D6">
      <w:pPr>
        <w:pStyle w:val="NormalIndent"/>
        <w:rPr>
          <w:lang w:val="en-US"/>
        </w:rPr>
      </w:pPr>
      <w:r w:rsidRPr="004673D6">
        <w:rPr>
          <w:lang w:val="en-US"/>
        </w:rPr>
        <w:lastRenderedPageBreak/>
        <w:t xml:space="preserve">This right is not absolute – it has to </w:t>
      </w:r>
      <w:proofErr w:type="gramStart"/>
      <w:r w:rsidRPr="004673D6">
        <w:rPr>
          <w:lang w:val="en-US"/>
        </w:rPr>
        <w:t>be balanced</w:t>
      </w:r>
      <w:proofErr w:type="gramEnd"/>
      <w:r w:rsidRPr="004673D6">
        <w:rPr>
          <w:lang w:val="en-US"/>
        </w:rPr>
        <w:t xml:space="preserve"> case by case against other rights (e.g. freedom of expression), public interest in the area of public health and the need for archiving in the public interest.</w:t>
      </w:r>
    </w:p>
    <w:p w:rsidR="004673D6" w:rsidRPr="004673D6" w:rsidRDefault="004673D6" w:rsidP="004673D6">
      <w:pPr>
        <w:pStyle w:val="NormalIndent"/>
        <w:rPr>
          <w:lang w:val="en-US"/>
        </w:rPr>
      </w:pPr>
      <w:r w:rsidRPr="004673D6">
        <w:rPr>
          <w:lang w:val="en-US"/>
        </w:rPr>
        <w:t>The controller must take reasonable steps, including technical measures, to inform other persons/</w:t>
      </w:r>
      <w:proofErr w:type="spellStart"/>
      <w:r w:rsidRPr="004673D6">
        <w:rPr>
          <w:lang w:val="en-US"/>
        </w:rPr>
        <w:t>organisations</w:t>
      </w:r>
      <w:proofErr w:type="spellEnd"/>
      <w:r w:rsidRPr="004673D6">
        <w:rPr>
          <w:lang w:val="en-US"/>
        </w:rPr>
        <w:t xml:space="preserve"> processing the data, such as search engines, that the data subject has requested erasure of links, copies or replications of the data. In each case, the definition of ‘reasonable steps’ will depend on what technology is available and the cost of implementation</w:t>
      </w:r>
    </w:p>
    <w:p w:rsidR="004673D6" w:rsidRDefault="00E75C03" w:rsidP="004673D6">
      <w:pPr>
        <w:pStyle w:val="Heading2"/>
        <w:rPr>
          <w:bCs/>
          <w:lang w:val="en-GB"/>
        </w:rPr>
      </w:pPr>
      <w:bookmarkStart w:id="10" w:name="_Toc524091036"/>
      <w:bookmarkStart w:id="11" w:name="_Toc524354233"/>
      <w:r w:rsidRPr="00E75C03">
        <w:rPr>
          <w:bCs/>
          <w:lang w:val="en-GB"/>
        </w:rPr>
        <w:t>Right to restrict the processing of personal data (Article 20)</w:t>
      </w:r>
      <w:bookmarkEnd w:id="10"/>
      <w:bookmarkEnd w:id="11"/>
    </w:p>
    <w:p w:rsidR="00E75C03" w:rsidRDefault="00E75C03" w:rsidP="00E75C03">
      <w:pPr>
        <w:pStyle w:val="NormalIndent"/>
      </w:pPr>
      <w:r>
        <w:t xml:space="preserve">A person can ask the controller to restrict the processing of his/her personal data under certain circumstances. This is the equivalent of the right of ‘blocking’ in </w:t>
      </w:r>
      <w:r w:rsidR="00B94762">
        <w:t xml:space="preserve">the old </w:t>
      </w:r>
      <w:r>
        <w:t>Regulation (EC) No 45/2001.</w:t>
      </w:r>
    </w:p>
    <w:p w:rsidR="00E75C03" w:rsidRDefault="00E75C03" w:rsidP="00E75C03">
      <w:pPr>
        <w:pStyle w:val="NormalIndent"/>
      </w:pPr>
      <w:r>
        <w:t>The data subject has the right to obtain from the controller restriction of processing of his/her data where one of the following applies:</w:t>
      </w:r>
    </w:p>
    <w:p w:rsidR="00E75C03" w:rsidRPr="00E75C03" w:rsidRDefault="00E75C03" w:rsidP="00E75C03">
      <w:pPr>
        <w:pStyle w:val="NormalIndent"/>
        <w:numPr>
          <w:ilvl w:val="0"/>
          <w:numId w:val="39"/>
        </w:numPr>
        <w:rPr>
          <w:lang w:val="en-US"/>
        </w:rPr>
      </w:pPr>
      <w:r w:rsidRPr="00E75C03">
        <w:rPr>
          <w:lang w:val="en-US"/>
        </w:rPr>
        <w:t>the accuracy of the personal data is contested by the data subject, for a period enabling the controller to verify the accuracy, including the completeness, of the personal data;</w:t>
      </w:r>
    </w:p>
    <w:p w:rsidR="00E75C03" w:rsidRPr="00E75C03" w:rsidRDefault="00E75C03" w:rsidP="00E75C03">
      <w:pPr>
        <w:pStyle w:val="NormalIndent"/>
        <w:numPr>
          <w:ilvl w:val="0"/>
          <w:numId w:val="39"/>
        </w:numPr>
        <w:rPr>
          <w:lang w:val="en-US"/>
        </w:rPr>
      </w:pPr>
      <w:r w:rsidRPr="00E75C03">
        <w:rPr>
          <w:lang w:val="en-US"/>
        </w:rPr>
        <w:t>the processing is unlawful and the data subject opposes the erasure of the personal data and requests the restriction of their use instead;</w:t>
      </w:r>
    </w:p>
    <w:p w:rsidR="00E75C03" w:rsidRPr="00E75C03" w:rsidRDefault="00E75C03" w:rsidP="00E75C03">
      <w:pPr>
        <w:pStyle w:val="NormalIndent"/>
        <w:numPr>
          <w:ilvl w:val="0"/>
          <w:numId w:val="39"/>
        </w:numPr>
        <w:rPr>
          <w:lang w:val="en-US"/>
        </w:rPr>
      </w:pPr>
      <w:r w:rsidRPr="00E75C03">
        <w:rPr>
          <w:lang w:val="en-US"/>
        </w:rPr>
        <w:t>the controller no longer needs the personal data for the purposes of the processing, but they are required by the data subject for the establishment, exercise or defence of legal claims;</w:t>
      </w:r>
    </w:p>
    <w:p w:rsidR="00E75C03" w:rsidRPr="00E75C03" w:rsidRDefault="00E75C03" w:rsidP="00E75C03">
      <w:pPr>
        <w:pStyle w:val="NormalIndent"/>
        <w:numPr>
          <w:ilvl w:val="0"/>
          <w:numId w:val="39"/>
        </w:numPr>
        <w:rPr>
          <w:lang w:val="en-US"/>
        </w:rPr>
      </w:pPr>
      <w:proofErr w:type="gramStart"/>
      <w:r w:rsidRPr="00E75C03">
        <w:rPr>
          <w:lang w:val="en-US"/>
        </w:rPr>
        <w:t>the</w:t>
      </w:r>
      <w:proofErr w:type="gramEnd"/>
      <w:r w:rsidRPr="00E75C03">
        <w:rPr>
          <w:lang w:val="en-US"/>
        </w:rPr>
        <w:t xml:space="preserve"> data subject has objected to processing pursuant to Article 23(1) pending the verification whether the legitimate grounds of the controller override those of the data subject.</w:t>
      </w:r>
    </w:p>
    <w:p w:rsidR="00E75C03" w:rsidRDefault="00E75C03" w:rsidP="00E75C03">
      <w:pPr>
        <w:pStyle w:val="NormalIndent"/>
      </w:pPr>
      <w:r>
        <w:t xml:space="preserve">It is worth to </w:t>
      </w:r>
      <w:proofErr w:type="gramStart"/>
      <w:r>
        <w:t>be reminded</w:t>
      </w:r>
      <w:proofErr w:type="gramEnd"/>
      <w:r>
        <w:t xml:space="preserve"> that ‘restriction of processing’ means the marking of stored personal data with the aim of limiting their processing in the future. The data </w:t>
      </w:r>
      <w:proofErr w:type="gramStart"/>
      <w:r>
        <w:t>cannot be deleted</w:t>
      </w:r>
      <w:proofErr w:type="gramEnd"/>
      <w:r>
        <w:t xml:space="preserve"> while it is ´restricted´.  Where processing has been restricted, personal data </w:t>
      </w:r>
      <w:proofErr w:type="gramStart"/>
      <w:r>
        <w:t>shall, with the exception of storage, only be processed</w:t>
      </w:r>
      <w:proofErr w:type="gramEnd"/>
      <w:r>
        <w:t xml:space="preserve"> with the data subject's consent or for the establishment, exercise or defence of legal claims or for the protection of the rights of another natural or legal person or for reasons of important public interest of the Union or of a Member State.</w:t>
      </w:r>
    </w:p>
    <w:p w:rsidR="00E75C03" w:rsidRPr="00E75C03" w:rsidRDefault="00E75C03" w:rsidP="00E75C03">
      <w:pPr>
        <w:pStyle w:val="Heading2"/>
      </w:pPr>
      <w:bookmarkStart w:id="12" w:name="_Toc524354234"/>
      <w:r w:rsidRPr="00E75C03">
        <w:rPr>
          <w:bCs/>
          <w:lang w:val="en-GB"/>
        </w:rPr>
        <w:t>Right to data portability (Article 22</w:t>
      </w:r>
      <w:bookmarkEnd w:id="12"/>
      <w:r w:rsidR="00B94762">
        <w:rPr>
          <w:bCs/>
          <w:lang w:val="en-GB"/>
        </w:rPr>
        <w:t>)</w:t>
      </w:r>
    </w:p>
    <w:p w:rsidR="00E75C03" w:rsidRPr="00E75C03" w:rsidRDefault="00E75C03" w:rsidP="00E75C03">
      <w:pPr>
        <w:pStyle w:val="NormalIndent"/>
        <w:rPr>
          <w:lang w:val="en-US"/>
        </w:rPr>
      </w:pPr>
      <w:r w:rsidRPr="00E75C03">
        <w:rPr>
          <w:lang w:val="en-US"/>
        </w:rPr>
        <w:t xml:space="preserve">A person is entitled to ask a controller to give him or her personal </w:t>
      </w:r>
      <w:proofErr w:type="gramStart"/>
      <w:r w:rsidRPr="00E75C03">
        <w:rPr>
          <w:lang w:val="en-US"/>
        </w:rPr>
        <w:t>data which</w:t>
      </w:r>
      <w:proofErr w:type="gramEnd"/>
      <w:r w:rsidRPr="00E75C03">
        <w:rPr>
          <w:lang w:val="en-US"/>
        </w:rPr>
        <w:t xml:space="preserve"> he or she has provided, in a structured, commonly used and machine-readable format, and to transmit those data to another controller. Where technically possible, the controller has to transmit the data directly itself.</w:t>
      </w:r>
    </w:p>
    <w:p w:rsidR="00E75C03" w:rsidRPr="00E75C03" w:rsidRDefault="00E75C03" w:rsidP="00E75C03">
      <w:pPr>
        <w:pStyle w:val="NormalIndent"/>
        <w:rPr>
          <w:lang w:val="en-US"/>
        </w:rPr>
      </w:pPr>
      <w:r w:rsidRPr="00E75C03">
        <w:rPr>
          <w:lang w:val="en-US"/>
        </w:rPr>
        <w:t>The right to data portability is applicable where the processing is:</w:t>
      </w:r>
    </w:p>
    <w:p w:rsidR="00E75C03" w:rsidRPr="00E75C03" w:rsidRDefault="00E75C03" w:rsidP="00E75C03">
      <w:pPr>
        <w:pStyle w:val="NormalIndent"/>
        <w:numPr>
          <w:ilvl w:val="0"/>
          <w:numId w:val="40"/>
        </w:numPr>
        <w:rPr>
          <w:lang w:val="en-US"/>
        </w:rPr>
      </w:pPr>
      <w:r w:rsidRPr="00E75C03">
        <w:rPr>
          <w:lang w:val="en-US"/>
        </w:rPr>
        <w:t>based on consent or on a contract; and</w:t>
      </w:r>
    </w:p>
    <w:p w:rsidR="00E75C03" w:rsidRPr="00E75C03" w:rsidRDefault="00E75C03" w:rsidP="00E75C03">
      <w:pPr>
        <w:pStyle w:val="NormalIndent"/>
        <w:numPr>
          <w:ilvl w:val="0"/>
          <w:numId w:val="40"/>
        </w:numPr>
        <w:rPr>
          <w:lang w:val="en-US"/>
        </w:rPr>
      </w:pPr>
      <w:proofErr w:type="gramStart"/>
      <w:r w:rsidRPr="00E75C03">
        <w:rPr>
          <w:lang w:val="en-US"/>
        </w:rPr>
        <w:t>carried</w:t>
      </w:r>
      <w:proofErr w:type="gramEnd"/>
      <w:r w:rsidRPr="00E75C03">
        <w:rPr>
          <w:lang w:val="en-US"/>
        </w:rPr>
        <w:t xml:space="preserve"> out by automated means.</w:t>
      </w:r>
    </w:p>
    <w:p w:rsidR="004673D6" w:rsidRDefault="00E75C03" w:rsidP="00E75C03">
      <w:pPr>
        <w:pStyle w:val="NormalIndent"/>
        <w:rPr>
          <w:lang w:val="en-US"/>
        </w:rPr>
      </w:pPr>
      <w:r w:rsidRPr="00E75C03">
        <w:rPr>
          <w:lang w:val="en-US"/>
        </w:rPr>
        <w:t>In exercising this right, the data subject has the right to have the personal data transmitted directly from one controller to another or to controllers other than Union institutions and bodies, where technically feasible.</w:t>
      </w:r>
    </w:p>
    <w:p w:rsidR="00E75C03" w:rsidRDefault="00E75C03" w:rsidP="00E75C03">
      <w:pPr>
        <w:pStyle w:val="Heading2"/>
      </w:pPr>
      <w:bookmarkStart w:id="13" w:name="_Toc524354235"/>
      <w:r w:rsidRPr="00E75C03">
        <w:t xml:space="preserve">Right to withdraw consent at any time </w:t>
      </w:r>
      <w:r w:rsidR="00B94762">
        <w:t>(</w:t>
      </w:r>
      <w:r w:rsidRPr="00E75C03">
        <w:t>Article 7(3)</w:t>
      </w:r>
      <w:r w:rsidR="00B94762">
        <w:t>)</w:t>
      </w:r>
      <w:bookmarkEnd w:id="13"/>
    </w:p>
    <w:p w:rsidR="00E75C03" w:rsidRPr="00E75C03" w:rsidRDefault="00E75C03" w:rsidP="00E75C03">
      <w:pPr>
        <w:pStyle w:val="NormalIndent"/>
        <w:rPr>
          <w:lang w:val="en-US"/>
        </w:rPr>
      </w:pPr>
      <w:r w:rsidRPr="00E75C03">
        <w:rPr>
          <w:lang w:val="en-US"/>
        </w:rPr>
        <w:t>Where applicable the controller must ask for consent in clear, plain language and inform data subjects of their right to withdraw their consent at any time. It should be as easy to withdraw consent as to give it.</w:t>
      </w:r>
    </w:p>
    <w:p w:rsidR="00E75C03" w:rsidRPr="00E75C03" w:rsidRDefault="00E75C03" w:rsidP="00E75C03">
      <w:pPr>
        <w:pStyle w:val="NormalIndent"/>
        <w:rPr>
          <w:lang w:val="en-US"/>
        </w:rPr>
      </w:pPr>
      <w:r w:rsidRPr="00E75C03">
        <w:rPr>
          <w:lang w:val="en-US"/>
        </w:rPr>
        <w:t>The withdrawal of consent has no bearing on the lawfulness of any previous processing based on consent before its withdrawal.</w:t>
      </w:r>
    </w:p>
    <w:p w:rsidR="00E75C03" w:rsidRDefault="00E75C03" w:rsidP="00E75C03">
      <w:pPr>
        <w:pStyle w:val="Heading2"/>
      </w:pPr>
      <w:bookmarkStart w:id="14" w:name="_Toc524354236"/>
      <w:r w:rsidRPr="00E75C03">
        <w:lastRenderedPageBreak/>
        <w:t>Right to lodge a complaint with the EDPS (Article 63 et seq.)</w:t>
      </w:r>
      <w:bookmarkEnd w:id="14"/>
    </w:p>
    <w:p w:rsidR="00E75C03" w:rsidRPr="00E75C03" w:rsidRDefault="00E75C03" w:rsidP="00E75C03">
      <w:pPr>
        <w:pStyle w:val="NormalIndent"/>
        <w:rPr>
          <w:lang w:val="en-US"/>
        </w:rPr>
      </w:pPr>
      <w:r w:rsidRPr="00E75C03">
        <w:rPr>
          <w:lang w:val="en-US"/>
        </w:rPr>
        <w:t xml:space="preserve">Under </w:t>
      </w:r>
      <w:r w:rsidR="00B94762">
        <w:rPr>
          <w:lang w:val="en-US"/>
        </w:rPr>
        <w:t xml:space="preserve">the old </w:t>
      </w:r>
      <w:r w:rsidRPr="00E75C03">
        <w:rPr>
          <w:lang w:val="en-US"/>
        </w:rPr>
        <w:t>Regulation (EC) No 45/2001, data subjects c</w:t>
      </w:r>
      <w:r w:rsidR="00B94762">
        <w:rPr>
          <w:lang w:val="en-US"/>
        </w:rPr>
        <w:t>ould</w:t>
      </w:r>
      <w:r w:rsidRPr="00E75C03">
        <w:rPr>
          <w:lang w:val="en-US"/>
        </w:rPr>
        <w:t xml:space="preserve"> lodge a complaint with the EDPS, which ha</w:t>
      </w:r>
      <w:r w:rsidR="00B94762">
        <w:rPr>
          <w:lang w:val="en-US"/>
        </w:rPr>
        <w:t>d</w:t>
      </w:r>
      <w:r w:rsidRPr="00E75C03">
        <w:rPr>
          <w:lang w:val="en-US"/>
        </w:rPr>
        <w:t xml:space="preserve"> to hear and investigate it and inform them of the outcome within a reasonable period. The </w:t>
      </w:r>
      <w:r w:rsidR="00B94762">
        <w:rPr>
          <w:lang w:val="en-US"/>
        </w:rPr>
        <w:t xml:space="preserve">new Regulation </w:t>
      </w:r>
      <w:r w:rsidR="00B94762" w:rsidRPr="00172385">
        <w:rPr>
          <w:lang w:val="en-IE"/>
        </w:rPr>
        <w:t>No 2018/</w:t>
      </w:r>
      <w:proofErr w:type="gramStart"/>
      <w:r w:rsidR="00B94762" w:rsidRPr="00172385">
        <w:rPr>
          <w:lang w:val="en-IE"/>
        </w:rPr>
        <w:t xml:space="preserve">1725 </w:t>
      </w:r>
      <w:r w:rsidRPr="00E75C03">
        <w:rPr>
          <w:lang w:val="en-US"/>
        </w:rPr>
        <w:t xml:space="preserve"> enshrines</w:t>
      </w:r>
      <w:proofErr w:type="gramEnd"/>
      <w:r w:rsidRPr="00E75C03">
        <w:rPr>
          <w:lang w:val="en-US"/>
        </w:rPr>
        <w:t xml:space="preserve"> this right and requires the EDPS to handle the complaint or inform the data subject within three months; failing this, the complaint is deemed to have been rejected</w:t>
      </w:r>
    </w:p>
    <w:p w:rsidR="00E75C03" w:rsidRDefault="00E75C03" w:rsidP="00E75C03">
      <w:pPr>
        <w:pStyle w:val="Heading2"/>
      </w:pPr>
      <w:bookmarkStart w:id="15" w:name="_Toc524354237"/>
      <w:r w:rsidRPr="00E75C03">
        <w:t>Restriction of rights (Article 25)</w:t>
      </w:r>
      <w:bookmarkEnd w:id="15"/>
    </w:p>
    <w:p w:rsidR="00E75C03" w:rsidRPr="00E75C03" w:rsidRDefault="00E75C03" w:rsidP="00E75C03">
      <w:pPr>
        <w:pStyle w:val="NormalIndent"/>
        <w:rPr>
          <w:lang w:val="en-US"/>
        </w:rPr>
      </w:pPr>
      <w:r w:rsidRPr="00E75C03">
        <w:rPr>
          <w:lang w:val="en-US"/>
        </w:rPr>
        <w:t xml:space="preserve">The proposal allows data subjects’ rights to be restricted only </w:t>
      </w:r>
      <w:proofErr w:type="gramStart"/>
      <w:r w:rsidRPr="00E75C03">
        <w:rPr>
          <w:lang w:val="en-US"/>
        </w:rPr>
        <w:t>on the basis of</w:t>
      </w:r>
      <w:proofErr w:type="gramEnd"/>
      <w:r w:rsidRPr="00E75C03">
        <w:rPr>
          <w:lang w:val="en-US"/>
        </w:rPr>
        <w:t>:</w:t>
      </w:r>
    </w:p>
    <w:p w:rsidR="00E75C03" w:rsidRPr="00E75C03" w:rsidRDefault="00E75C03" w:rsidP="00E75C03">
      <w:pPr>
        <w:pStyle w:val="NormalIndent"/>
        <w:numPr>
          <w:ilvl w:val="0"/>
          <w:numId w:val="41"/>
        </w:numPr>
        <w:rPr>
          <w:lang w:val="en-US"/>
        </w:rPr>
      </w:pPr>
      <w:r w:rsidRPr="00E75C03">
        <w:rPr>
          <w:lang w:val="en-US"/>
        </w:rPr>
        <w:t>a legal act based on the Treaties; or</w:t>
      </w:r>
    </w:p>
    <w:p w:rsidR="00E75C03" w:rsidRPr="00E75C03" w:rsidRDefault="00E75C03" w:rsidP="00E75C03">
      <w:pPr>
        <w:pStyle w:val="NormalIndent"/>
        <w:numPr>
          <w:ilvl w:val="0"/>
          <w:numId w:val="41"/>
        </w:numPr>
        <w:rPr>
          <w:lang w:val="en-US"/>
        </w:rPr>
      </w:pPr>
      <w:r w:rsidRPr="00E75C03">
        <w:rPr>
          <w:lang w:val="en-US"/>
        </w:rPr>
        <w:t>(</w:t>
      </w:r>
      <w:proofErr w:type="gramStart"/>
      <w:r w:rsidRPr="00E75C03">
        <w:rPr>
          <w:lang w:val="en-US"/>
        </w:rPr>
        <w:t>for</w:t>
      </w:r>
      <w:proofErr w:type="gramEnd"/>
      <w:r w:rsidRPr="00E75C03">
        <w:rPr>
          <w:lang w:val="en-US"/>
        </w:rPr>
        <w:t xml:space="preserve"> matters relating to the operation of Union institutions and bodies) internal rules.</w:t>
      </w:r>
    </w:p>
    <w:p w:rsidR="00E75C03" w:rsidRPr="00E75C03" w:rsidRDefault="00E75C03" w:rsidP="00E75C03">
      <w:pPr>
        <w:pStyle w:val="NormalIndent"/>
        <w:rPr>
          <w:lang w:val="en-US"/>
        </w:rPr>
      </w:pPr>
      <w:r w:rsidRPr="00E75C03">
        <w:rPr>
          <w:lang w:val="en-US"/>
        </w:rPr>
        <w:t xml:space="preserve">If the restriction </w:t>
      </w:r>
      <w:proofErr w:type="gramStart"/>
      <w:r w:rsidRPr="00E75C03">
        <w:rPr>
          <w:lang w:val="en-US"/>
        </w:rPr>
        <w:t>is based</w:t>
      </w:r>
      <w:proofErr w:type="gramEnd"/>
      <w:r w:rsidRPr="00E75C03">
        <w:rPr>
          <w:lang w:val="en-US"/>
        </w:rPr>
        <w:t xml:space="preserve"> on internal rules, those should be clear and precise acts of general application, intended to produce legal effects vis-a-vis data subjects, adopted at the highest level of management of the Union institutions and bodies and subject to publication in the Official Journal of the European Union.</w:t>
      </w:r>
    </w:p>
    <w:p w:rsidR="00E75C03" w:rsidRPr="00E75C03" w:rsidRDefault="00E75C03" w:rsidP="00E75C03">
      <w:pPr>
        <w:pStyle w:val="NormalIndent"/>
        <w:rPr>
          <w:lang w:val="en-US"/>
        </w:rPr>
      </w:pPr>
      <w:r w:rsidRPr="00E75C03">
        <w:rPr>
          <w:lang w:val="en-US"/>
        </w:rPr>
        <w:t>The right not to be subject to automated decision making cannot be restricted under any circumstances, while the right to object can be restricted only for scientific, historical research or statistical purposes or for the purposes of archiving in the public interest.</w:t>
      </w:r>
    </w:p>
    <w:p w:rsidR="00E75C03" w:rsidRPr="00E75C03" w:rsidRDefault="00E75C03" w:rsidP="00E75C03">
      <w:pPr>
        <w:pStyle w:val="NormalIndent"/>
        <w:rPr>
          <w:lang w:val="en-US"/>
        </w:rPr>
      </w:pPr>
      <w:r w:rsidRPr="00E75C03">
        <w:rPr>
          <w:lang w:val="en-US"/>
        </w:rPr>
        <w:t xml:space="preserve">Where a restriction is imposed </w:t>
      </w:r>
      <w:proofErr w:type="gramStart"/>
      <w:r w:rsidRPr="00E75C03">
        <w:rPr>
          <w:lang w:val="en-US"/>
        </w:rPr>
        <w:t>on the basis of</w:t>
      </w:r>
      <w:proofErr w:type="gramEnd"/>
      <w:r w:rsidRPr="00E75C03">
        <w:rPr>
          <w:lang w:val="en-US"/>
        </w:rPr>
        <w:t xml:space="preserve"> Union law, the data subject shall be informed of the principal reasons and of his or her right to lodge a complaint with the EDPS.</w:t>
      </w:r>
    </w:p>
    <w:p w:rsidR="00E75C03" w:rsidRPr="00E75C03" w:rsidRDefault="00E75C03" w:rsidP="00E75C03">
      <w:pPr>
        <w:pStyle w:val="NormalIndent"/>
        <w:rPr>
          <w:lang w:val="en-US"/>
        </w:rPr>
      </w:pPr>
      <w:r w:rsidRPr="00E75C03">
        <w:rPr>
          <w:lang w:val="en-US"/>
        </w:rPr>
        <w:t xml:space="preserve">‘Restrictions’ in the </w:t>
      </w:r>
      <w:r w:rsidR="00B94762">
        <w:rPr>
          <w:lang w:val="en-US"/>
        </w:rPr>
        <w:t xml:space="preserve">new Regulation </w:t>
      </w:r>
      <w:r w:rsidR="00B94762" w:rsidRPr="00172385">
        <w:rPr>
          <w:lang w:val="en-IE"/>
        </w:rPr>
        <w:t xml:space="preserve">No 2018/1725 </w:t>
      </w:r>
      <w:r w:rsidRPr="00E75C03">
        <w:rPr>
          <w:lang w:val="en-US"/>
        </w:rPr>
        <w:t>are equivalent to ‘exemptions’ in Regulation (EC) No 45/2001.</w:t>
      </w:r>
    </w:p>
    <w:p w:rsidR="00E75C03" w:rsidRDefault="005309B8" w:rsidP="005309B8">
      <w:pPr>
        <w:pStyle w:val="Heading1"/>
      </w:pPr>
      <w:bookmarkStart w:id="16" w:name="_Toc524354238"/>
      <w:r>
        <w:t>Controllers’ obligations</w:t>
      </w:r>
      <w:bookmarkEnd w:id="16"/>
    </w:p>
    <w:p w:rsidR="005309B8" w:rsidRDefault="005309B8" w:rsidP="005309B8">
      <w:pPr>
        <w:pStyle w:val="Heading2"/>
      </w:pPr>
      <w:bookmarkStart w:id="17" w:name="_Toc524354239"/>
      <w:r w:rsidRPr="005309B8">
        <w:t>Data subject’s consent (Article 7)</w:t>
      </w:r>
      <w:bookmarkEnd w:id="17"/>
    </w:p>
    <w:p w:rsidR="005309B8" w:rsidRPr="005309B8" w:rsidRDefault="005309B8" w:rsidP="005309B8">
      <w:pPr>
        <w:pStyle w:val="NormalIndent"/>
        <w:rPr>
          <w:lang w:val="en-US"/>
        </w:rPr>
      </w:pPr>
      <w:r w:rsidRPr="005309B8">
        <w:rPr>
          <w:lang w:val="en-US"/>
        </w:rPr>
        <w:t xml:space="preserve">The </w:t>
      </w:r>
      <w:r w:rsidR="00B94762">
        <w:rPr>
          <w:lang w:val="en-US"/>
        </w:rPr>
        <w:t xml:space="preserve">new Regulation </w:t>
      </w:r>
      <w:r w:rsidR="00B94762" w:rsidRPr="00172385">
        <w:rPr>
          <w:lang w:val="en-IE"/>
        </w:rPr>
        <w:t xml:space="preserve">No 2018/1725 </w:t>
      </w:r>
      <w:r w:rsidRPr="005309B8">
        <w:rPr>
          <w:lang w:val="en-US"/>
        </w:rPr>
        <w:t>clarifies that consent is a valid basis for lawful processing where the controller:</w:t>
      </w:r>
    </w:p>
    <w:p w:rsidR="005309B8" w:rsidRPr="005309B8" w:rsidRDefault="005309B8" w:rsidP="005309B8">
      <w:pPr>
        <w:pStyle w:val="NormalIndent"/>
        <w:numPr>
          <w:ilvl w:val="0"/>
          <w:numId w:val="42"/>
        </w:numPr>
        <w:rPr>
          <w:lang w:val="en-US"/>
        </w:rPr>
      </w:pPr>
      <w:r w:rsidRPr="005309B8">
        <w:rPr>
          <w:lang w:val="en-US"/>
        </w:rPr>
        <w:t>can demonstrate that the data subject has consented to the processing of his/her data; and</w:t>
      </w:r>
    </w:p>
    <w:p w:rsidR="005309B8" w:rsidRPr="005309B8" w:rsidRDefault="005309B8" w:rsidP="005309B8">
      <w:pPr>
        <w:pStyle w:val="NormalIndent"/>
        <w:numPr>
          <w:ilvl w:val="0"/>
          <w:numId w:val="42"/>
        </w:numPr>
        <w:rPr>
          <w:lang w:val="en-US"/>
        </w:rPr>
      </w:pPr>
      <w:proofErr w:type="gramStart"/>
      <w:r w:rsidRPr="005309B8">
        <w:rPr>
          <w:lang w:val="en-US"/>
        </w:rPr>
        <w:t>has</w:t>
      </w:r>
      <w:proofErr w:type="gramEnd"/>
      <w:r w:rsidRPr="005309B8">
        <w:rPr>
          <w:lang w:val="en-US"/>
        </w:rPr>
        <w:t xml:space="preserve"> asked in advance for consent in clear, plain language, and separately for each type of data processing activity (no ‘bundle consent’).</w:t>
      </w:r>
    </w:p>
    <w:p w:rsidR="005309B8" w:rsidRPr="005309B8" w:rsidRDefault="005309B8" w:rsidP="005309B8">
      <w:pPr>
        <w:pStyle w:val="NormalIndent"/>
        <w:rPr>
          <w:lang w:val="en-US"/>
        </w:rPr>
      </w:pPr>
      <w:r w:rsidRPr="005309B8">
        <w:rPr>
          <w:lang w:val="en-US"/>
        </w:rPr>
        <w:t xml:space="preserve">Consent must be given by a clear, affirmative act indicating the data </w:t>
      </w:r>
      <w:proofErr w:type="gramStart"/>
      <w:r w:rsidRPr="005309B8">
        <w:rPr>
          <w:lang w:val="en-US"/>
        </w:rPr>
        <w:t>subject’s</w:t>
      </w:r>
      <w:proofErr w:type="gramEnd"/>
      <w:r w:rsidRPr="005309B8">
        <w:rPr>
          <w:lang w:val="en-US"/>
        </w:rPr>
        <w:t xml:space="preserve"> freely given, specific, informed and unambiguous agreement: silence, inactivity or pre-ticked boxes do not constitute valid consent.</w:t>
      </w:r>
    </w:p>
    <w:p w:rsidR="005309B8" w:rsidRDefault="005309B8" w:rsidP="005309B8">
      <w:pPr>
        <w:pStyle w:val="Heading2"/>
        <w:rPr>
          <w:color w:val="000000" w:themeColor="text1"/>
        </w:rPr>
      </w:pPr>
      <w:bookmarkStart w:id="18" w:name="_Toc524091043"/>
      <w:bookmarkStart w:id="19" w:name="_Toc524354240"/>
      <w:r w:rsidRPr="0076745C">
        <w:rPr>
          <w:color w:val="000000" w:themeColor="text1"/>
        </w:rPr>
        <w:t>Data protection by design and by default (Article 27)</w:t>
      </w:r>
      <w:bookmarkEnd w:id="18"/>
      <w:bookmarkEnd w:id="19"/>
    </w:p>
    <w:p w:rsidR="005309B8" w:rsidRPr="005309B8" w:rsidRDefault="005309B8" w:rsidP="005309B8">
      <w:pPr>
        <w:pStyle w:val="NormalIndent"/>
        <w:rPr>
          <w:lang w:val="en-US"/>
        </w:rPr>
      </w:pPr>
      <w:r w:rsidRPr="005309B8">
        <w:rPr>
          <w:lang w:val="en-US"/>
        </w:rPr>
        <w:t xml:space="preserve">The </w:t>
      </w:r>
      <w:r w:rsidR="00B94762">
        <w:rPr>
          <w:lang w:val="en-US"/>
        </w:rPr>
        <w:t xml:space="preserve">new Regulation </w:t>
      </w:r>
      <w:r w:rsidR="00B94762" w:rsidRPr="00172385">
        <w:rPr>
          <w:lang w:val="en-IE"/>
        </w:rPr>
        <w:t xml:space="preserve">No 2018/1725 </w:t>
      </w:r>
      <w:r w:rsidRPr="005309B8">
        <w:rPr>
          <w:lang w:val="en-US"/>
        </w:rPr>
        <w:t xml:space="preserve">introduces the concept of data protection by design and by default. In concrete terms, this means that the controller must take appropriate technical and </w:t>
      </w:r>
      <w:proofErr w:type="spellStart"/>
      <w:r w:rsidRPr="005309B8">
        <w:rPr>
          <w:lang w:val="en-US"/>
        </w:rPr>
        <w:t>organisational</w:t>
      </w:r>
      <w:proofErr w:type="spellEnd"/>
      <w:r w:rsidRPr="005309B8">
        <w:rPr>
          <w:lang w:val="en-US"/>
        </w:rPr>
        <w:t xml:space="preserve"> measures to ensure that data protection is integral to the processing operation and that personal data </w:t>
      </w:r>
      <w:proofErr w:type="gramStart"/>
      <w:r w:rsidRPr="005309B8">
        <w:rPr>
          <w:lang w:val="en-US"/>
        </w:rPr>
        <w:t>is processed</w:t>
      </w:r>
      <w:proofErr w:type="gramEnd"/>
      <w:r w:rsidRPr="005309B8">
        <w:rPr>
          <w:lang w:val="en-US"/>
        </w:rPr>
        <w:t xml:space="preserve"> only to the extent necessary for each specific purpose of the processing.</w:t>
      </w:r>
    </w:p>
    <w:p w:rsidR="005309B8" w:rsidRPr="005309B8" w:rsidRDefault="005309B8" w:rsidP="005309B8">
      <w:pPr>
        <w:pStyle w:val="NormalIndent"/>
        <w:rPr>
          <w:lang w:val="en-US"/>
        </w:rPr>
      </w:pPr>
      <w:proofErr w:type="gramStart"/>
      <w:r w:rsidRPr="005309B8">
        <w:rPr>
          <w:lang w:val="en-US"/>
        </w:rPr>
        <w:t xml:space="preserve">The appropriate technical and </w:t>
      </w:r>
      <w:proofErr w:type="spellStart"/>
      <w:r w:rsidRPr="005309B8">
        <w:rPr>
          <w:lang w:val="en-US"/>
        </w:rPr>
        <w:t>organisational</w:t>
      </w:r>
      <w:proofErr w:type="spellEnd"/>
      <w:r w:rsidRPr="005309B8">
        <w:rPr>
          <w:lang w:val="en-US"/>
        </w:rPr>
        <w:t xml:space="preserve"> measures should be implemented by the controller, both at the time of the determination of the means for processing and at the time of the processing itself, in an effective manner and so to integrate the necessary safeguards into the processing in order to meet the requirements of this Regulation and protect the rights of data subjects.</w:t>
      </w:r>
      <w:proofErr w:type="gramEnd"/>
    </w:p>
    <w:p w:rsidR="005309B8" w:rsidRDefault="005309B8" w:rsidP="005309B8">
      <w:pPr>
        <w:pStyle w:val="Heading2"/>
      </w:pPr>
      <w:bookmarkStart w:id="20" w:name="_Toc524354241"/>
      <w:proofErr w:type="gramStart"/>
      <w:r w:rsidRPr="005309B8">
        <w:lastRenderedPageBreak/>
        <w:t>Data protection impact assessment</w:t>
      </w:r>
      <w:proofErr w:type="gramEnd"/>
      <w:r w:rsidRPr="005309B8">
        <w:t xml:space="preserve"> (Article 39 et seq.)</w:t>
      </w:r>
      <w:bookmarkEnd w:id="20"/>
    </w:p>
    <w:p w:rsidR="005309B8" w:rsidRPr="005309B8" w:rsidRDefault="005309B8" w:rsidP="005309B8">
      <w:pPr>
        <w:pStyle w:val="NormalIndent"/>
        <w:rPr>
          <w:lang w:val="en-US"/>
        </w:rPr>
      </w:pPr>
      <w:r w:rsidRPr="005309B8">
        <w:rPr>
          <w:lang w:val="en-US"/>
        </w:rPr>
        <w:t>If the processing of personal data is likely to result in a high risk to the rights and freedoms of individuals, the controller must first carry out a DPIA.</w:t>
      </w:r>
    </w:p>
    <w:p w:rsidR="005309B8" w:rsidRPr="005309B8" w:rsidRDefault="005309B8" w:rsidP="005309B8">
      <w:pPr>
        <w:pStyle w:val="NormalIndent"/>
        <w:rPr>
          <w:lang w:val="en-US"/>
        </w:rPr>
      </w:pPr>
      <w:r w:rsidRPr="005309B8">
        <w:rPr>
          <w:lang w:val="en-US"/>
        </w:rPr>
        <w:t>The DPIA describes the processing operation and its purposes, the risks to the rights and freedoms of individuals and specific measures envisaged to address the risks.</w:t>
      </w:r>
    </w:p>
    <w:p w:rsidR="005309B8" w:rsidRPr="005309B8" w:rsidRDefault="005309B8" w:rsidP="005309B8">
      <w:pPr>
        <w:pStyle w:val="NormalIndent"/>
        <w:rPr>
          <w:lang w:val="en-US"/>
        </w:rPr>
      </w:pPr>
      <w:r w:rsidRPr="005309B8">
        <w:rPr>
          <w:lang w:val="en-US"/>
        </w:rPr>
        <w:t xml:space="preserve">In particular, a DPIA will be required </w:t>
      </w:r>
      <w:proofErr w:type="gramStart"/>
      <w:r w:rsidRPr="005309B8">
        <w:rPr>
          <w:lang w:val="en-US"/>
        </w:rPr>
        <w:t>in the event of</w:t>
      </w:r>
      <w:proofErr w:type="gramEnd"/>
      <w:r w:rsidRPr="005309B8">
        <w:rPr>
          <w:lang w:val="en-US"/>
        </w:rPr>
        <w:t>:</w:t>
      </w:r>
    </w:p>
    <w:p w:rsidR="005309B8" w:rsidRPr="005309B8" w:rsidRDefault="005309B8" w:rsidP="005309B8">
      <w:pPr>
        <w:pStyle w:val="NormalIndent"/>
        <w:rPr>
          <w:lang w:val="en-US"/>
        </w:rPr>
      </w:pPr>
      <w:r w:rsidRPr="005309B8">
        <w:rPr>
          <w:lang w:val="en-US"/>
        </w:rPr>
        <w:t xml:space="preserve">• </w:t>
      </w:r>
      <w:proofErr w:type="gramStart"/>
      <w:r w:rsidRPr="005309B8">
        <w:rPr>
          <w:lang w:val="en-US"/>
        </w:rPr>
        <w:t>systematic</w:t>
      </w:r>
      <w:proofErr w:type="gramEnd"/>
      <w:r w:rsidRPr="005309B8">
        <w:rPr>
          <w:lang w:val="en-US"/>
        </w:rPr>
        <w:t xml:space="preserve"> and extensive evaluation of personal data based on automatic processing (including profiling) and leading to decisions producing legal effects;</w:t>
      </w:r>
    </w:p>
    <w:p w:rsidR="005309B8" w:rsidRPr="005309B8" w:rsidRDefault="005309B8" w:rsidP="005309B8">
      <w:pPr>
        <w:pStyle w:val="NormalIndent"/>
        <w:rPr>
          <w:lang w:val="en-US"/>
        </w:rPr>
      </w:pPr>
      <w:r w:rsidRPr="005309B8">
        <w:rPr>
          <w:lang w:val="en-US"/>
        </w:rPr>
        <w:t xml:space="preserve">• </w:t>
      </w:r>
      <w:proofErr w:type="gramStart"/>
      <w:r w:rsidRPr="005309B8">
        <w:rPr>
          <w:lang w:val="en-US"/>
        </w:rPr>
        <w:t>large</w:t>
      </w:r>
      <w:proofErr w:type="gramEnd"/>
      <w:r w:rsidRPr="005309B8">
        <w:rPr>
          <w:lang w:val="en-US"/>
        </w:rPr>
        <w:t xml:space="preserve"> scale processing of special categories of data; and</w:t>
      </w:r>
    </w:p>
    <w:p w:rsidR="005309B8" w:rsidRPr="005309B8" w:rsidRDefault="005309B8" w:rsidP="005309B8">
      <w:pPr>
        <w:pStyle w:val="NormalIndent"/>
        <w:rPr>
          <w:lang w:val="en-US"/>
        </w:rPr>
      </w:pPr>
      <w:r w:rsidRPr="005309B8">
        <w:rPr>
          <w:lang w:val="en-US"/>
        </w:rPr>
        <w:t xml:space="preserve">• </w:t>
      </w:r>
      <w:proofErr w:type="gramStart"/>
      <w:r w:rsidRPr="005309B8">
        <w:rPr>
          <w:lang w:val="en-US"/>
        </w:rPr>
        <w:t>large</w:t>
      </w:r>
      <w:proofErr w:type="gramEnd"/>
      <w:r w:rsidRPr="005309B8">
        <w:rPr>
          <w:lang w:val="en-US"/>
        </w:rPr>
        <w:t xml:space="preserve"> scale systematic monitoring of publicly accessible areas.</w:t>
      </w:r>
    </w:p>
    <w:p w:rsidR="005309B8" w:rsidRPr="005309B8" w:rsidRDefault="005309B8" w:rsidP="005309B8">
      <w:pPr>
        <w:pStyle w:val="NormalIndent"/>
        <w:rPr>
          <w:lang w:val="en-US"/>
        </w:rPr>
      </w:pPr>
      <w:r w:rsidRPr="005309B8">
        <w:rPr>
          <w:lang w:val="en-US"/>
        </w:rPr>
        <w:t>The EDPS will draw up a list of the kind of processing operations that will require a DPIA.</w:t>
      </w:r>
    </w:p>
    <w:p w:rsidR="005309B8" w:rsidRDefault="005309B8" w:rsidP="005309B8">
      <w:pPr>
        <w:pStyle w:val="Heading2"/>
      </w:pPr>
      <w:bookmarkStart w:id="21" w:name="_Toc524354242"/>
      <w:r w:rsidRPr="005309B8">
        <w:t>Obligation to notify the EDPS and the data subject of a data breach (Articles 3</w:t>
      </w:r>
      <w:r w:rsidR="00E6429C">
        <w:t>4</w:t>
      </w:r>
      <w:r w:rsidRPr="005309B8">
        <w:t xml:space="preserve"> and 3</w:t>
      </w:r>
      <w:r w:rsidR="00E6429C">
        <w:t>5</w:t>
      </w:r>
      <w:r w:rsidRPr="005309B8">
        <w:t>)</w:t>
      </w:r>
      <w:bookmarkEnd w:id="21"/>
    </w:p>
    <w:p w:rsidR="005309B8" w:rsidRPr="005309B8" w:rsidRDefault="005309B8" w:rsidP="005309B8">
      <w:pPr>
        <w:pStyle w:val="NormalIndent"/>
        <w:rPr>
          <w:lang w:val="en-US"/>
        </w:rPr>
      </w:pPr>
      <w:r w:rsidRPr="005309B8">
        <w:rPr>
          <w:lang w:val="en-US"/>
        </w:rPr>
        <w:t>In the event of a personal data breach, the controller must notify the EDPS without undue delay and, where feasible, no later than 72 hours after becoming aware of it, unless it is unlikely to result in a risk to the rights and freedoms of natural persons. The controller must also inform the DPO.</w:t>
      </w:r>
    </w:p>
    <w:p w:rsidR="005309B8" w:rsidRPr="005309B8" w:rsidRDefault="005309B8" w:rsidP="005309B8">
      <w:pPr>
        <w:pStyle w:val="NormalIndent"/>
        <w:rPr>
          <w:lang w:val="en-US"/>
        </w:rPr>
      </w:pPr>
      <w:r w:rsidRPr="005309B8">
        <w:rPr>
          <w:lang w:val="en-US"/>
        </w:rPr>
        <w:t>The controller must document the circumstances of the breach, its impact and remedial action taken to enable the EDPS to verify compliance with these provisions.</w:t>
      </w:r>
    </w:p>
    <w:p w:rsidR="005309B8" w:rsidRPr="005309B8" w:rsidRDefault="005309B8" w:rsidP="005309B8">
      <w:pPr>
        <w:pStyle w:val="NormalIndent"/>
        <w:rPr>
          <w:lang w:val="en-US"/>
        </w:rPr>
      </w:pPr>
      <w:r w:rsidRPr="005309B8">
        <w:rPr>
          <w:lang w:val="en-US"/>
        </w:rPr>
        <w:t>The controller must also notify the data subject if the breach is likely to result in a high risk to the rights and freedoms of natural persons. The notification must be in clear, plain language and contain at least the DPO’s name and contact details, an indication of the likely consequences of the breach and a description of measures taken by the controller.</w:t>
      </w:r>
    </w:p>
    <w:p w:rsidR="005309B8" w:rsidRPr="005309B8" w:rsidRDefault="005309B8" w:rsidP="005309B8">
      <w:pPr>
        <w:pStyle w:val="NormalIndent"/>
        <w:rPr>
          <w:lang w:val="en-US"/>
        </w:rPr>
      </w:pPr>
      <w:r w:rsidRPr="005309B8">
        <w:rPr>
          <w:lang w:val="en-US"/>
        </w:rPr>
        <w:t xml:space="preserve">The controller does not have to notify the data subject where: 1. it has taken technical and </w:t>
      </w:r>
      <w:proofErr w:type="spellStart"/>
      <w:r w:rsidRPr="005309B8">
        <w:rPr>
          <w:lang w:val="en-US"/>
        </w:rPr>
        <w:t>organisational</w:t>
      </w:r>
      <w:proofErr w:type="spellEnd"/>
      <w:r w:rsidRPr="005309B8">
        <w:rPr>
          <w:lang w:val="en-US"/>
        </w:rPr>
        <w:t xml:space="preserve"> measures (e.g. encryption) that render the data unintelligible to </w:t>
      </w:r>
      <w:proofErr w:type="spellStart"/>
      <w:r w:rsidRPr="005309B8">
        <w:rPr>
          <w:lang w:val="en-US"/>
        </w:rPr>
        <w:t>unauthorised</w:t>
      </w:r>
      <w:proofErr w:type="spellEnd"/>
      <w:r w:rsidRPr="005309B8">
        <w:rPr>
          <w:lang w:val="en-US"/>
        </w:rPr>
        <w:t xml:space="preserve"> persons. 2. </w:t>
      </w:r>
      <w:proofErr w:type="gramStart"/>
      <w:r w:rsidRPr="005309B8">
        <w:rPr>
          <w:lang w:val="en-US"/>
        </w:rPr>
        <w:t>it</w:t>
      </w:r>
      <w:proofErr w:type="gramEnd"/>
      <w:r w:rsidRPr="005309B8">
        <w:rPr>
          <w:lang w:val="en-US"/>
        </w:rPr>
        <w:t xml:space="preserve"> takes measures that render the risk no longer likely to </w:t>
      </w:r>
      <w:proofErr w:type="spellStart"/>
      <w:r w:rsidRPr="005309B8">
        <w:rPr>
          <w:lang w:val="en-US"/>
        </w:rPr>
        <w:t>materialise</w:t>
      </w:r>
      <w:proofErr w:type="spellEnd"/>
      <w:r w:rsidRPr="005309B8">
        <w:rPr>
          <w:lang w:val="en-US"/>
        </w:rPr>
        <w:t xml:space="preserve">, and 3. </w:t>
      </w:r>
      <w:proofErr w:type="gramStart"/>
      <w:r w:rsidRPr="005309B8">
        <w:rPr>
          <w:lang w:val="en-US"/>
        </w:rPr>
        <w:t>it</w:t>
      </w:r>
      <w:proofErr w:type="gramEnd"/>
      <w:r w:rsidRPr="005309B8">
        <w:rPr>
          <w:lang w:val="en-US"/>
        </w:rPr>
        <w:t xml:space="preserve"> means a disproportioned effort.</w:t>
      </w:r>
    </w:p>
    <w:p w:rsidR="005309B8" w:rsidRDefault="005309B8" w:rsidP="005309B8">
      <w:pPr>
        <w:pStyle w:val="Heading2"/>
      </w:pPr>
      <w:bookmarkStart w:id="22" w:name="_Toc524354243"/>
      <w:r w:rsidRPr="005309B8">
        <w:t>Security of personal data and confidentiality of communications (Articles 33 and 3</w:t>
      </w:r>
      <w:r w:rsidR="00E6429C">
        <w:t>6</w:t>
      </w:r>
      <w:r w:rsidRPr="005309B8">
        <w:t>)</w:t>
      </w:r>
      <w:bookmarkEnd w:id="22"/>
    </w:p>
    <w:p w:rsidR="005309B8" w:rsidRPr="005309B8" w:rsidRDefault="005309B8" w:rsidP="005309B8">
      <w:pPr>
        <w:pStyle w:val="NormalIndent"/>
        <w:rPr>
          <w:lang w:val="en-US"/>
        </w:rPr>
      </w:pPr>
      <w:r w:rsidRPr="005309B8">
        <w:rPr>
          <w:lang w:val="en-US"/>
        </w:rPr>
        <w:t xml:space="preserve">The </w:t>
      </w:r>
      <w:r w:rsidR="00B94762">
        <w:rPr>
          <w:lang w:val="en-US"/>
        </w:rPr>
        <w:t xml:space="preserve">new Regulation </w:t>
      </w:r>
      <w:r w:rsidR="00B94762" w:rsidRPr="00172385">
        <w:rPr>
          <w:lang w:val="en-IE"/>
        </w:rPr>
        <w:t xml:space="preserve">No 2018/1725 </w:t>
      </w:r>
      <w:r w:rsidRPr="005309B8">
        <w:rPr>
          <w:lang w:val="en-US"/>
        </w:rPr>
        <w:t xml:space="preserve">goes into </w:t>
      </w:r>
      <w:proofErr w:type="gramStart"/>
      <w:r w:rsidRPr="005309B8">
        <w:rPr>
          <w:lang w:val="en-US"/>
        </w:rPr>
        <w:t>greater detail</w:t>
      </w:r>
      <w:proofErr w:type="gramEnd"/>
      <w:r w:rsidRPr="005309B8">
        <w:rPr>
          <w:lang w:val="en-US"/>
        </w:rPr>
        <w:t xml:space="preserve"> than Regulation (EC) No 45/2001 in describing the security measures that the controller must take, e.g. </w:t>
      </w:r>
      <w:proofErr w:type="spellStart"/>
      <w:r w:rsidRPr="005309B8">
        <w:rPr>
          <w:lang w:val="en-US"/>
        </w:rPr>
        <w:t>pseudonymisation</w:t>
      </w:r>
      <w:proofErr w:type="spellEnd"/>
      <w:r w:rsidRPr="005309B8">
        <w:rPr>
          <w:lang w:val="en-US"/>
        </w:rPr>
        <w:t xml:space="preserve"> and encryption.</w:t>
      </w:r>
    </w:p>
    <w:p w:rsidR="005309B8" w:rsidRPr="005309B8" w:rsidRDefault="005309B8" w:rsidP="005309B8">
      <w:pPr>
        <w:pStyle w:val="NormalIndent"/>
        <w:rPr>
          <w:lang w:val="en-US"/>
        </w:rPr>
      </w:pPr>
      <w:r w:rsidRPr="005309B8">
        <w:rPr>
          <w:lang w:val="en-US"/>
        </w:rPr>
        <w:t xml:space="preserve">It also </w:t>
      </w:r>
      <w:proofErr w:type="spellStart"/>
      <w:r w:rsidRPr="005309B8">
        <w:rPr>
          <w:lang w:val="en-US"/>
        </w:rPr>
        <w:t>emphasises</w:t>
      </w:r>
      <w:proofErr w:type="spellEnd"/>
      <w:r w:rsidRPr="005309B8">
        <w:rPr>
          <w:lang w:val="en-US"/>
        </w:rPr>
        <w:t xml:space="preserve"> EU </w:t>
      </w:r>
      <w:proofErr w:type="gramStart"/>
      <w:r w:rsidRPr="005309B8">
        <w:rPr>
          <w:lang w:val="en-US"/>
        </w:rPr>
        <w:t>institutions’</w:t>
      </w:r>
      <w:proofErr w:type="gramEnd"/>
      <w:r w:rsidRPr="005309B8">
        <w:rPr>
          <w:lang w:val="en-US"/>
        </w:rPr>
        <w:t xml:space="preserve"> and bodies’ obligation to ensure the confidentiality of electronic communications by securing their networks.</w:t>
      </w:r>
    </w:p>
    <w:p w:rsidR="005309B8" w:rsidRDefault="005309B8" w:rsidP="005309B8">
      <w:pPr>
        <w:pStyle w:val="Heading2"/>
      </w:pPr>
      <w:bookmarkStart w:id="23" w:name="_Toc524354244"/>
      <w:r w:rsidRPr="005309B8">
        <w:t xml:space="preserve">Protection of directories of users </w:t>
      </w:r>
      <w:r w:rsidR="00E6429C">
        <w:t>(Article 38</w:t>
      </w:r>
      <w:r w:rsidRPr="005309B8">
        <w:t>)</w:t>
      </w:r>
      <w:bookmarkEnd w:id="23"/>
    </w:p>
    <w:p w:rsidR="005309B8" w:rsidRPr="005309B8" w:rsidRDefault="005309B8" w:rsidP="005309B8">
      <w:pPr>
        <w:pStyle w:val="NormalIndent"/>
        <w:rPr>
          <w:lang w:val="en-US"/>
        </w:rPr>
      </w:pPr>
      <w:r w:rsidRPr="005309B8">
        <w:rPr>
          <w:lang w:val="en-US"/>
        </w:rPr>
        <w:t xml:space="preserve">As regards the protection of information in </w:t>
      </w:r>
      <w:proofErr w:type="gramStart"/>
      <w:r w:rsidRPr="005309B8">
        <w:rPr>
          <w:lang w:val="en-US"/>
        </w:rPr>
        <w:t>end-users</w:t>
      </w:r>
      <w:proofErr w:type="gramEnd"/>
      <w:r w:rsidRPr="005309B8">
        <w:rPr>
          <w:lang w:val="en-US"/>
        </w:rPr>
        <w:t xml:space="preserve">’ equipment, the </w:t>
      </w:r>
      <w:r w:rsidR="00B94762">
        <w:rPr>
          <w:lang w:val="en-US"/>
        </w:rPr>
        <w:t xml:space="preserve">new Regulation </w:t>
      </w:r>
      <w:r w:rsidR="00B94762" w:rsidRPr="00172385">
        <w:rPr>
          <w:lang w:val="en-IE"/>
        </w:rPr>
        <w:t xml:space="preserve">No 2018/1725 </w:t>
      </w:r>
      <w:r w:rsidRPr="005309B8">
        <w:rPr>
          <w:lang w:val="en-US"/>
        </w:rPr>
        <w:t xml:space="preserve">contains the same rules as the proposal for </w:t>
      </w:r>
      <w:proofErr w:type="spellStart"/>
      <w:r w:rsidRPr="005309B8">
        <w:rPr>
          <w:lang w:val="en-US"/>
        </w:rPr>
        <w:t>ePrivacy</w:t>
      </w:r>
      <w:proofErr w:type="spellEnd"/>
      <w:r w:rsidRPr="005309B8">
        <w:rPr>
          <w:lang w:val="en-US"/>
        </w:rPr>
        <w:t xml:space="preserve"> Regulation. </w:t>
      </w:r>
    </w:p>
    <w:p w:rsidR="005309B8" w:rsidRPr="005309B8" w:rsidRDefault="005309B8" w:rsidP="005309B8">
      <w:pPr>
        <w:pStyle w:val="NormalIndent"/>
        <w:rPr>
          <w:lang w:val="en-US"/>
        </w:rPr>
      </w:pPr>
      <w:r w:rsidRPr="005309B8">
        <w:rPr>
          <w:lang w:val="en-US"/>
        </w:rPr>
        <w:t xml:space="preserve">The </w:t>
      </w:r>
      <w:r w:rsidR="00B94762">
        <w:rPr>
          <w:lang w:val="en-US"/>
        </w:rPr>
        <w:t xml:space="preserve">new Regulation </w:t>
      </w:r>
      <w:r w:rsidR="00B94762" w:rsidRPr="00172385">
        <w:rPr>
          <w:lang w:val="en-IE"/>
        </w:rPr>
        <w:t xml:space="preserve">No 2018/1725 </w:t>
      </w:r>
      <w:r w:rsidRPr="005309B8">
        <w:rPr>
          <w:lang w:val="en-US"/>
        </w:rPr>
        <w:t xml:space="preserve">requires that personal data in user directories be limited to what is strictly necessary and that directories </w:t>
      </w:r>
      <w:proofErr w:type="gramStart"/>
      <w:r w:rsidRPr="005309B8">
        <w:rPr>
          <w:lang w:val="en-US"/>
        </w:rPr>
        <w:t>be protected</w:t>
      </w:r>
      <w:proofErr w:type="gramEnd"/>
      <w:r w:rsidRPr="005309B8">
        <w:rPr>
          <w:lang w:val="en-US"/>
        </w:rPr>
        <w:t xml:space="preserve"> from being used for marketing purposes.</w:t>
      </w:r>
    </w:p>
    <w:p w:rsidR="005309B8" w:rsidRDefault="005309B8" w:rsidP="005309B8">
      <w:pPr>
        <w:pStyle w:val="Heading1"/>
      </w:pPr>
      <w:bookmarkStart w:id="24" w:name="_Toc524354245"/>
      <w:r>
        <w:lastRenderedPageBreak/>
        <w:t>Clarification of processors’ obligations</w:t>
      </w:r>
      <w:bookmarkEnd w:id="24"/>
    </w:p>
    <w:p w:rsidR="005309B8" w:rsidRPr="005309B8" w:rsidRDefault="005309B8" w:rsidP="005309B8">
      <w:pPr>
        <w:pStyle w:val="NormalIndent"/>
        <w:rPr>
          <w:lang w:val="en-US"/>
        </w:rPr>
      </w:pPr>
      <w:r w:rsidRPr="005309B8">
        <w:rPr>
          <w:lang w:val="en-US"/>
        </w:rPr>
        <w:t xml:space="preserve">The </w:t>
      </w:r>
      <w:r w:rsidR="00B94762">
        <w:rPr>
          <w:lang w:val="en-US"/>
        </w:rPr>
        <w:t xml:space="preserve">new Regulation </w:t>
      </w:r>
      <w:r w:rsidR="00B94762" w:rsidRPr="00172385">
        <w:rPr>
          <w:lang w:val="en-IE"/>
        </w:rPr>
        <w:t xml:space="preserve">No 2018/1725 </w:t>
      </w:r>
      <w:r w:rsidRPr="005309B8">
        <w:rPr>
          <w:lang w:val="en-US"/>
        </w:rPr>
        <w:t>clarifies processors’ obligations, in particular strictly regulating the extent to which they can take on other processors to carry out specific processing activities on behalf of the controller.</w:t>
      </w:r>
    </w:p>
    <w:p w:rsidR="005309B8" w:rsidRPr="005309B8" w:rsidRDefault="005309B8" w:rsidP="005309B8">
      <w:pPr>
        <w:pStyle w:val="NormalIndent"/>
        <w:rPr>
          <w:lang w:val="en-US"/>
        </w:rPr>
      </w:pPr>
      <w:r w:rsidRPr="005309B8">
        <w:rPr>
          <w:lang w:val="en-US"/>
        </w:rPr>
        <w:t xml:space="preserve">Subcontracting to other processors is subject to prior written </w:t>
      </w:r>
      <w:proofErr w:type="spellStart"/>
      <w:r w:rsidRPr="005309B8">
        <w:rPr>
          <w:lang w:val="en-US"/>
        </w:rPr>
        <w:t>authorisation</w:t>
      </w:r>
      <w:proofErr w:type="spellEnd"/>
      <w:r w:rsidRPr="005309B8">
        <w:rPr>
          <w:lang w:val="en-US"/>
        </w:rPr>
        <w:t xml:space="preserve"> by the controller.</w:t>
      </w:r>
    </w:p>
    <w:p w:rsidR="005309B8" w:rsidRDefault="005309B8" w:rsidP="005309B8">
      <w:pPr>
        <w:pStyle w:val="Heading1"/>
      </w:pPr>
      <w:bookmarkStart w:id="25" w:name="_Toc524354246"/>
      <w:r>
        <w:t>Simplification of procedures</w:t>
      </w:r>
      <w:bookmarkEnd w:id="25"/>
    </w:p>
    <w:p w:rsidR="005309B8" w:rsidRDefault="005309B8" w:rsidP="005309B8">
      <w:pPr>
        <w:pStyle w:val="Heading2"/>
      </w:pPr>
      <w:bookmarkStart w:id="26" w:name="_Toc524354247"/>
      <w:r w:rsidRPr="005309B8">
        <w:t>Transfer of data within or between institutions</w:t>
      </w:r>
      <w:bookmarkEnd w:id="26"/>
    </w:p>
    <w:p w:rsidR="005309B8" w:rsidRPr="005309B8" w:rsidRDefault="005309B8" w:rsidP="005309B8">
      <w:pPr>
        <w:pStyle w:val="NormalIndent"/>
        <w:rPr>
          <w:lang w:val="en-US"/>
        </w:rPr>
      </w:pPr>
      <w:r w:rsidRPr="005309B8">
        <w:rPr>
          <w:lang w:val="en-US"/>
        </w:rPr>
        <w:t xml:space="preserve">Unlike Regulation (EC) No 45/2001, the </w:t>
      </w:r>
      <w:r w:rsidR="00B94762">
        <w:rPr>
          <w:lang w:val="en-US"/>
        </w:rPr>
        <w:t xml:space="preserve">new Regulation </w:t>
      </w:r>
      <w:r w:rsidR="00B94762" w:rsidRPr="00172385">
        <w:rPr>
          <w:lang w:val="en-IE"/>
        </w:rPr>
        <w:t xml:space="preserve">No 2018/1725 </w:t>
      </w:r>
      <w:r w:rsidRPr="005309B8">
        <w:rPr>
          <w:lang w:val="en-US"/>
        </w:rPr>
        <w:t>contains no specific provisions on the transfer of data within or between Community institutions. However, the general principles governing the processing of personal data continue to apply.</w:t>
      </w:r>
    </w:p>
    <w:p w:rsidR="005309B8" w:rsidRDefault="005309B8" w:rsidP="005309B8">
      <w:pPr>
        <w:pStyle w:val="Heading2"/>
      </w:pPr>
      <w:bookmarkStart w:id="27" w:name="_Toc524354248"/>
      <w:r w:rsidRPr="005309B8">
        <w:t>Prior consultation of the EDPS (Article 40)</w:t>
      </w:r>
      <w:bookmarkEnd w:id="27"/>
    </w:p>
    <w:p w:rsidR="005309B8" w:rsidRPr="005309B8" w:rsidRDefault="005309B8" w:rsidP="005309B8">
      <w:pPr>
        <w:pStyle w:val="NormalIndent"/>
        <w:rPr>
          <w:lang w:val="en-US"/>
        </w:rPr>
      </w:pPr>
      <w:r w:rsidRPr="005309B8">
        <w:rPr>
          <w:lang w:val="en-US"/>
        </w:rPr>
        <w:t>The controller must consult the EDPS when the DPIA indicates that, in the absence of safeguards, security measures and mitigating mechanisms, processing would result in a high risk to the rights and freedoms of natural persons.</w:t>
      </w:r>
    </w:p>
    <w:p w:rsidR="005309B8" w:rsidRPr="005309B8" w:rsidRDefault="005309B8" w:rsidP="005309B8">
      <w:pPr>
        <w:pStyle w:val="NormalIndent"/>
        <w:rPr>
          <w:lang w:val="en-US"/>
        </w:rPr>
      </w:pPr>
      <w:r w:rsidRPr="005309B8">
        <w:rPr>
          <w:lang w:val="en-US"/>
        </w:rPr>
        <w:t xml:space="preserve">Prior consultation is necessary only if the controller is of the opinion that the risks identified in the DPIA </w:t>
      </w:r>
      <w:proofErr w:type="gramStart"/>
      <w:r w:rsidRPr="005309B8">
        <w:rPr>
          <w:lang w:val="en-US"/>
        </w:rPr>
        <w:t>cannot be mitigated</w:t>
      </w:r>
      <w:proofErr w:type="gramEnd"/>
      <w:r w:rsidRPr="005309B8">
        <w:rPr>
          <w:lang w:val="en-US"/>
        </w:rPr>
        <w:t xml:space="preserve"> by means that are reasonable in terms of available technologies and cost of implementation. This prior consultation replaces the current prior checking for sensitive processing operations.</w:t>
      </w:r>
    </w:p>
    <w:p w:rsidR="005309B8" w:rsidRDefault="005309B8" w:rsidP="005309B8">
      <w:pPr>
        <w:pStyle w:val="Heading2"/>
      </w:pPr>
      <w:bookmarkStart w:id="28" w:name="_Toc524354249"/>
      <w:r w:rsidRPr="005309B8">
        <w:t>Records of processing activities (Article 31)</w:t>
      </w:r>
      <w:bookmarkEnd w:id="28"/>
    </w:p>
    <w:p w:rsidR="005309B8" w:rsidRPr="005309B8" w:rsidRDefault="005309B8" w:rsidP="005309B8">
      <w:pPr>
        <w:pStyle w:val="NormalIndent"/>
        <w:rPr>
          <w:lang w:val="en-US"/>
        </w:rPr>
      </w:pPr>
      <w:r w:rsidRPr="005309B8">
        <w:rPr>
          <w:lang w:val="en-US"/>
        </w:rPr>
        <w:t xml:space="preserve">Prior notification of the DPO is no longer mandatory. Instead, the controller (and the processor) must maintain records of all processing operations under their responsibility. These </w:t>
      </w:r>
      <w:proofErr w:type="gramStart"/>
      <w:r w:rsidRPr="005309B8">
        <w:rPr>
          <w:lang w:val="en-US"/>
        </w:rPr>
        <w:t>must be made</w:t>
      </w:r>
      <w:proofErr w:type="gramEnd"/>
      <w:r w:rsidRPr="005309B8">
        <w:rPr>
          <w:lang w:val="en-US"/>
        </w:rPr>
        <w:t xml:space="preserve"> available to the EDPS on request.</w:t>
      </w:r>
    </w:p>
    <w:p w:rsidR="005309B8" w:rsidRPr="005309B8" w:rsidRDefault="005309B8" w:rsidP="005309B8">
      <w:pPr>
        <w:pStyle w:val="NormalIndent"/>
        <w:rPr>
          <w:lang w:val="en-US"/>
        </w:rPr>
      </w:pPr>
      <w:r w:rsidRPr="005309B8">
        <w:rPr>
          <w:lang w:val="en-US"/>
        </w:rPr>
        <w:t xml:space="preserve">The </w:t>
      </w:r>
      <w:r w:rsidR="00B94762">
        <w:rPr>
          <w:lang w:val="en-US"/>
        </w:rPr>
        <w:t xml:space="preserve">new Regulation </w:t>
      </w:r>
      <w:r w:rsidR="00B94762" w:rsidRPr="00172385">
        <w:rPr>
          <w:lang w:val="en-IE"/>
        </w:rPr>
        <w:t xml:space="preserve">No 2018/1725 </w:t>
      </w:r>
      <w:r w:rsidRPr="005309B8">
        <w:rPr>
          <w:lang w:val="en-US"/>
        </w:rPr>
        <w:t xml:space="preserve">requires for institutions (safe for small-sized institutions and bodies) to keep a </w:t>
      </w:r>
      <w:proofErr w:type="spellStart"/>
      <w:r w:rsidRPr="005309B8">
        <w:rPr>
          <w:lang w:val="en-US"/>
        </w:rPr>
        <w:t>centralised</w:t>
      </w:r>
      <w:proofErr w:type="spellEnd"/>
      <w:r w:rsidRPr="005309B8">
        <w:rPr>
          <w:lang w:val="en-US"/>
        </w:rPr>
        <w:t xml:space="preserve"> register of activities, which should be publicly accessible</w:t>
      </w:r>
    </w:p>
    <w:p w:rsidR="00581154" w:rsidRDefault="005309B8" w:rsidP="005309B8">
      <w:pPr>
        <w:pStyle w:val="Heading1"/>
      </w:pPr>
      <w:bookmarkStart w:id="29" w:name="_Toc524354250"/>
      <w:r>
        <w:t>Fines for non-compliance with data protection rules</w:t>
      </w:r>
      <w:bookmarkEnd w:id="29"/>
    </w:p>
    <w:p w:rsidR="005309B8" w:rsidRDefault="00B94762" w:rsidP="005309B8">
      <w:pPr>
        <w:pStyle w:val="Heading2"/>
      </w:pPr>
      <w:bookmarkStart w:id="30" w:name="_Toc524354251"/>
      <w:r>
        <w:t>(</w:t>
      </w:r>
      <w:r w:rsidR="005309B8" w:rsidRPr="005309B8">
        <w:t>Articles 66 and 29(10)</w:t>
      </w:r>
      <w:r>
        <w:t>)</w:t>
      </w:r>
      <w:bookmarkEnd w:id="30"/>
    </w:p>
    <w:p w:rsidR="005309B8" w:rsidRPr="005309B8" w:rsidRDefault="005309B8" w:rsidP="005309B8">
      <w:pPr>
        <w:pStyle w:val="NormalIndent"/>
        <w:rPr>
          <w:lang w:val="en-US"/>
        </w:rPr>
      </w:pPr>
      <w:r w:rsidRPr="005309B8">
        <w:rPr>
          <w:lang w:val="en-US"/>
        </w:rPr>
        <w:t>One key new element is the introduction of administrative fines for non-compliance with data protection rules.</w:t>
      </w:r>
    </w:p>
    <w:p w:rsidR="005309B8" w:rsidRPr="005309B8" w:rsidRDefault="005309B8" w:rsidP="005309B8">
      <w:pPr>
        <w:pStyle w:val="NormalIndent"/>
        <w:rPr>
          <w:lang w:val="en-US"/>
        </w:rPr>
      </w:pPr>
      <w:r w:rsidRPr="005309B8">
        <w:rPr>
          <w:lang w:val="en-US"/>
        </w:rPr>
        <w:t xml:space="preserve">The </w:t>
      </w:r>
      <w:r w:rsidR="00B94762">
        <w:rPr>
          <w:lang w:val="en-US"/>
        </w:rPr>
        <w:t xml:space="preserve">new Regulation </w:t>
      </w:r>
      <w:r w:rsidR="00B94762" w:rsidRPr="00172385">
        <w:rPr>
          <w:lang w:val="en-IE"/>
        </w:rPr>
        <w:t xml:space="preserve">No 2018/1725 </w:t>
      </w:r>
      <w:proofErr w:type="spellStart"/>
      <w:r w:rsidRPr="005309B8">
        <w:rPr>
          <w:lang w:val="en-US"/>
        </w:rPr>
        <w:t>authorises</w:t>
      </w:r>
      <w:proofErr w:type="spellEnd"/>
      <w:r w:rsidRPr="005309B8">
        <w:rPr>
          <w:lang w:val="en-US"/>
        </w:rPr>
        <w:t xml:space="preserve"> the EDPS to sanction another EU institution for failure to comply with one of its orders. For </w:t>
      </w:r>
      <w:proofErr w:type="gramStart"/>
      <w:r w:rsidRPr="005309B8">
        <w:rPr>
          <w:lang w:val="en-US"/>
        </w:rPr>
        <w:t>example</w:t>
      </w:r>
      <w:proofErr w:type="gramEnd"/>
      <w:r w:rsidRPr="005309B8">
        <w:rPr>
          <w:lang w:val="en-US"/>
        </w:rPr>
        <w:t xml:space="preserve"> an administrative fine can be imposed in case of failure by the controller to act on an order to:</w:t>
      </w:r>
    </w:p>
    <w:p w:rsidR="005309B8" w:rsidRPr="005309B8" w:rsidRDefault="005309B8" w:rsidP="005309B8">
      <w:pPr>
        <w:pStyle w:val="NormalIndent"/>
        <w:numPr>
          <w:ilvl w:val="0"/>
          <w:numId w:val="43"/>
        </w:numPr>
        <w:rPr>
          <w:lang w:val="en-US"/>
        </w:rPr>
      </w:pPr>
      <w:r w:rsidRPr="005309B8">
        <w:rPr>
          <w:lang w:val="en-US"/>
        </w:rPr>
        <w:t>comply with the data subject’s request to exercise his or her rights;</w:t>
      </w:r>
    </w:p>
    <w:p w:rsidR="005309B8" w:rsidRPr="005309B8" w:rsidRDefault="005309B8" w:rsidP="005309B8">
      <w:pPr>
        <w:pStyle w:val="NormalIndent"/>
        <w:numPr>
          <w:ilvl w:val="0"/>
          <w:numId w:val="43"/>
        </w:numPr>
        <w:rPr>
          <w:lang w:val="en-US"/>
        </w:rPr>
      </w:pPr>
      <w:r w:rsidRPr="005309B8">
        <w:rPr>
          <w:lang w:val="en-US"/>
        </w:rPr>
        <w:t>rectify or erase personal data, or restrict its processing; or</w:t>
      </w:r>
    </w:p>
    <w:p w:rsidR="005309B8" w:rsidRPr="005309B8" w:rsidRDefault="005309B8" w:rsidP="005309B8">
      <w:pPr>
        <w:pStyle w:val="NormalIndent"/>
        <w:numPr>
          <w:ilvl w:val="0"/>
          <w:numId w:val="43"/>
        </w:numPr>
        <w:rPr>
          <w:lang w:val="en-US"/>
        </w:rPr>
      </w:pPr>
      <w:proofErr w:type="gramStart"/>
      <w:r w:rsidRPr="005309B8">
        <w:rPr>
          <w:lang w:val="en-US"/>
        </w:rPr>
        <w:t>suspend</w:t>
      </w:r>
      <w:proofErr w:type="gramEnd"/>
      <w:r w:rsidRPr="005309B8">
        <w:rPr>
          <w:lang w:val="en-US"/>
        </w:rPr>
        <w:t xml:space="preserve"> data flows to a recipient in a Member State, a non-EU country or an international </w:t>
      </w:r>
      <w:proofErr w:type="spellStart"/>
      <w:r w:rsidRPr="005309B8">
        <w:rPr>
          <w:lang w:val="en-US"/>
        </w:rPr>
        <w:t>organisation</w:t>
      </w:r>
      <w:proofErr w:type="spellEnd"/>
      <w:r w:rsidRPr="005309B8">
        <w:rPr>
          <w:lang w:val="en-US"/>
        </w:rPr>
        <w:t>.</w:t>
      </w:r>
    </w:p>
    <w:p w:rsidR="005309B8" w:rsidRPr="005309B8" w:rsidRDefault="005309B8" w:rsidP="005309B8">
      <w:pPr>
        <w:pStyle w:val="NormalIndent"/>
        <w:rPr>
          <w:lang w:val="en-US"/>
        </w:rPr>
      </w:pPr>
      <w:r w:rsidRPr="005309B8">
        <w:rPr>
          <w:lang w:val="en-US"/>
        </w:rPr>
        <w:lastRenderedPageBreak/>
        <w:t>The level of the fine will be decided case by case and depend on what rule has been infringed. Fines can be up to EUR 25 000 per infringement and up to a total of EUR 250 000 per year. For major breaches, they can go up to EUR 50 000 per infringement and up to a total of EUR 500 000 per year.</w:t>
      </w:r>
    </w:p>
    <w:p w:rsidR="005309B8" w:rsidRPr="005309B8" w:rsidRDefault="005309B8" w:rsidP="005309B8">
      <w:pPr>
        <w:pStyle w:val="NormalIndent"/>
        <w:rPr>
          <w:lang w:val="en-US"/>
        </w:rPr>
      </w:pPr>
      <w:r w:rsidRPr="005309B8">
        <w:rPr>
          <w:lang w:val="en-US"/>
        </w:rPr>
        <w:t>Processors may also be subject to fines if they do not follow the controller’s instructions.</w:t>
      </w:r>
    </w:p>
    <w:p w:rsidR="005309B8" w:rsidRDefault="005309B8" w:rsidP="005309B8">
      <w:pPr>
        <w:pStyle w:val="Heading1"/>
      </w:pPr>
      <w:bookmarkStart w:id="31" w:name="_Toc524354252"/>
      <w:r>
        <w:t>Other provisions</w:t>
      </w:r>
      <w:bookmarkEnd w:id="31"/>
    </w:p>
    <w:p w:rsidR="005309B8" w:rsidRDefault="005309B8" w:rsidP="005309B8">
      <w:pPr>
        <w:pStyle w:val="Heading2"/>
      </w:pPr>
      <w:bookmarkStart w:id="32" w:name="_Toc524354253"/>
      <w:r w:rsidRPr="005309B8">
        <w:t>Data protection officer (Articles 4</w:t>
      </w:r>
      <w:r w:rsidR="00E6429C">
        <w:t>3</w:t>
      </w:r>
      <w:r w:rsidRPr="005309B8">
        <w:t>-4</w:t>
      </w:r>
      <w:r w:rsidR="00E6429C">
        <w:t>5</w:t>
      </w:r>
      <w:r w:rsidRPr="005309B8">
        <w:t>)</w:t>
      </w:r>
      <w:bookmarkEnd w:id="32"/>
    </w:p>
    <w:p w:rsidR="005309B8" w:rsidRPr="005309B8" w:rsidRDefault="005309B8" w:rsidP="005309B8">
      <w:pPr>
        <w:pStyle w:val="NormalIndent"/>
        <w:rPr>
          <w:lang w:val="en-US"/>
        </w:rPr>
      </w:pPr>
      <w:r w:rsidRPr="005309B8">
        <w:rPr>
          <w:lang w:val="en-US"/>
        </w:rPr>
        <w:t>The main changes are that:</w:t>
      </w:r>
    </w:p>
    <w:p w:rsidR="005309B8" w:rsidRPr="005309B8" w:rsidRDefault="005309B8" w:rsidP="005309B8">
      <w:pPr>
        <w:pStyle w:val="NormalIndent"/>
        <w:numPr>
          <w:ilvl w:val="0"/>
          <w:numId w:val="44"/>
        </w:numPr>
        <w:rPr>
          <w:lang w:val="en-US"/>
        </w:rPr>
      </w:pPr>
      <w:r w:rsidRPr="005309B8">
        <w:rPr>
          <w:lang w:val="en-US"/>
        </w:rPr>
        <w:t>a single DPO can be appointed for several Union institutions and bodies;</w:t>
      </w:r>
    </w:p>
    <w:p w:rsidR="005309B8" w:rsidRPr="005309B8" w:rsidRDefault="005309B8" w:rsidP="005309B8">
      <w:pPr>
        <w:pStyle w:val="NormalIndent"/>
        <w:numPr>
          <w:ilvl w:val="0"/>
          <w:numId w:val="44"/>
        </w:numPr>
        <w:rPr>
          <w:lang w:val="en-US"/>
        </w:rPr>
      </w:pPr>
      <w:r w:rsidRPr="005309B8">
        <w:rPr>
          <w:lang w:val="en-US"/>
        </w:rPr>
        <w:t xml:space="preserve">the DPO will be appointed for a term of three to five years and the possibility of renewing the appointment is not limited </w:t>
      </w:r>
      <w:r w:rsidR="00B94762">
        <w:rPr>
          <w:lang w:val="en-US"/>
        </w:rPr>
        <w:t>(</w:t>
      </w:r>
      <w:r w:rsidRPr="005309B8">
        <w:rPr>
          <w:lang w:val="en-US"/>
        </w:rPr>
        <w:t>under Regulation (EC) No 45/2001, the DPO’s term of office cannot exceed 10 years</w:t>
      </w:r>
      <w:r w:rsidR="00B94762">
        <w:rPr>
          <w:lang w:val="en-US"/>
        </w:rPr>
        <w:t>)</w:t>
      </w:r>
      <w:r w:rsidRPr="005309B8">
        <w:rPr>
          <w:lang w:val="en-US"/>
        </w:rPr>
        <w:t>;</w:t>
      </w:r>
    </w:p>
    <w:p w:rsidR="005309B8" w:rsidRPr="005309B8" w:rsidRDefault="005309B8" w:rsidP="005309B8">
      <w:pPr>
        <w:pStyle w:val="NormalIndent"/>
        <w:numPr>
          <w:ilvl w:val="0"/>
          <w:numId w:val="44"/>
        </w:numPr>
        <w:rPr>
          <w:lang w:val="en-US"/>
        </w:rPr>
      </w:pPr>
      <w:r w:rsidRPr="005309B8">
        <w:rPr>
          <w:lang w:val="en-US"/>
        </w:rPr>
        <w:t xml:space="preserve">the DPO is expressly tasked with monitoring his/her institution’s compliance with the new Regulation, as well as with other data protection provisions and the institution’s personal data protection policies; this involves assigning responsibilities, awareness raising, training and audits; and </w:t>
      </w:r>
    </w:p>
    <w:p w:rsidR="005309B8" w:rsidRPr="005309B8" w:rsidRDefault="005309B8" w:rsidP="005309B8">
      <w:pPr>
        <w:pStyle w:val="NormalIndent"/>
        <w:numPr>
          <w:ilvl w:val="0"/>
          <w:numId w:val="44"/>
        </w:numPr>
        <w:rPr>
          <w:lang w:val="en-US"/>
        </w:rPr>
      </w:pPr>
      <w:proofErr w:type="gramStart"/>
      <w:r w:rsidRPr="005309B8">
        <w:rPr>
          <w:lang w:val="en-US"/>
        </w:rPr>
        <w:t>the</w:t>
      </w:r>
      <w:proofErr w:type="gramEnd"/>
      <w:r w:rsidRPr="005309B8">
        <w:rPr>
          <w:lang w:val="en-US"/>
        </w:rPr>
        <w:t xml:space="preserve"> controller must inform the DPO about personal data breaches, and consult the DPO on DPIAs and prior consultation of the EDPS.</w:t>
      </w:r>
    </w:p>
    <w:p w:rsidR="005309B8" w:rsidRPr="005309B8" w:rsidRDefault="005309B8" w:rsidP="005309B8">
      <w:pPr>
        <w:pStyle w:val="NormalIndent"/>
        <w:rPr>
          <w:lang w:val="en-US"/>
        </w:rPr>
      </w:pPr>
      <w:r w:rsidRPr="005309B8">
        <w:rPr>
          <w:lang w:val="en-US"/>
        </w:rPr>
        <w:t>The DPO tasks can be outsourced.</w:t>
      </w:r>
    </w:p>
    <w:p w:rsidR="005309B8" w:rsidRDefault="005309B8" w:rsidP="005309B8">
      <w:pPr>
        <w:pStyle w:val="Heading2"/>
      </w:pPr>
      <w:bookmarkStart w:id="33" w:name="_Toc524354254"/>
      <w:r w:rsidRPr="005309B8">
        <w:t>International data transfers (Article 4</w:t>
      </w:r>
      <w:r w:rsidR="00E6429C">
        <w:t>6-51</w:t>
      </w:r>
      <w:r w:rsidRPr="005309B8">
        <w:t>)</w:t>
      </w:r>
      <w:bookmarkEnd w:id="33"/>
    </w:p>
    <w:p w:rsidR="005309B8" w:rsidRPr="005309B8" w:rsidRDefault="005309B8" w:rsidP="005309B8">
      <w:pPr>
        <w:pStyle w:val="NormalIndent"/>
        <w:rPr>
          <w:lang w:val="en-US"/>
        </w:rPr>
      </w:pPr>
      <w:r w:rsidRPr="005309B8">
        <w:rPr>
          <w:lang w:val="en-US"/>
        </w:rPr>
        <w:t xml:space="preserve">The </w:t>
      </w:r>
      <w:r w:rsidR="00B94762">
        <w:rPr>
          <w:lang w:val="en-US"/>
        </w:rPr>
        <w:t xml:space="preserve">new Regulation </w:t>
      </w:r>
      <w:r w:rsidR="00B94762" w:rsidRPr="00172385">
        <w:rPr>
          <w:lang w:val="en-IE"/>
        </w:rPr>
        <w:t xml:space="preserve">No 2018/1725 </w:t>
      </w:r>
      <w:proofErr w:type="spellStart"/>
      <w:r w:rsidRPr="005309B8">
        <w:rPr>
          <w:lang w:val="en-US"/>
        </w:rPr>
        <w:t>formalises</w:t>
      </w:r>
      <w:proofErr w:type="spellEnd"/>
      <w:r w:rsidRPr="005309B8">
        <w:rPr>
          <w:lang w:val="en-US"/>
        </w:rPr>
        <w:t xml:space="preserve"> the practice of </w:t>
      </w:r>
      <w:proofErr w:type="spellStart"/>
      <w:r w:rsidRPr="005309B8">
        <w:rPr>
          <w:lang w:val="en-US"/>
        </w:rPr>
        <w:t>recognising</w:t>
      </w:r>
      <w:proofErr w:type="spellEnd"/>
      <w:r w:rsidRPr="005309B8">
        <w:rPr>
          <w:lang w:val="en-US"/>
        </w:rPr>
        <w:t xml:space="preserve"> binding corporate rules as appropriate safeguards when Union institutions and bodies use an external processor to transfer personal data to countries or international </w:t>
      </w:r>
      <w:proofErr w:type="spellStart"/>
      <w:r w:rsidRPr="005309B8">
        <w:rPr>
          <w:lang w:val="en-US"/>
        </w:rPr>
        <w:t>organisations</w:t>
      </w:r>
      <w:proofErr w:type="spellEnd"/>
      <w:r w:rsidRPr="005309B8">
        <w:rPr>
          <w:lang w:val="en-US"/>
        </w:rPr>
        <w:t xml:space="preserve"> not covered by a Commission adequacy decision. International transfers </w:t>
      </w:r>
      <w:proofErr w:type="gramStart"/>
      <w:r w:rsidRPr="005309B8">
        <w:rPr>
          <w:lang w:val="en-US"/>
        </w:rPr>
        <w:t>can also be based</w:t>
      </w:r>
      <w:proofErr w:type="gramEnd"/>
      <w:r w:rsidRPr="005309B8">
        <w:rPr>
          <w:lang w:val="en-US"/>
        </w:rPr>
        <w:t xml:space="preserve"> on standard contractual clauses and a legally binding and enforceable instrument between public authorities and bodies.</w:t>
      </w:r>
    </w:p>
    <w:p w:rsidR="005309B8" w:rsidRPr="005309B8" w:rsidRDefault="005309B8" w:rsidP="005309B8">
      <w:pPr>
        <w:pStyle w:val="NormalIndent"/>
        <w:rPr>
          <w:lang w:val="en-US"/>
        </w:rPr>
      </w:pPr>
      <w:r w:rsidRPr="005309B8">
        <w:rPr>
          <w:lang w:val="en-US"/>
        </w:rPr>
        <w:t xml:space="preserve">The EDPS can </w:t>
      </w:r>
      <w:proofErr w:type="spellStart"/>
      <w:r w:rsidRPr="005309B8">
        <w:rPr>
          <w:lang w:val="en-US"/>
        </w:rPr>
        <w:t>authorise</w:t>
      </w:r>
      <w:proofErr w:type="spellEnd"/>
      <w:r w:rsidRPr="005309B8">
        <w:rPr>
          <w:lang w:val="en-US"/>
        </w:rPr>
        <w:t xml:space="preserve"> the insertion of other contractual clauses or provisions into administrative arrangements.</w:t>
      </w:r>
    </w:p>
    <w:p w:rsidR="005309B8" w:rsidRPr="005309B8" w:rsidRDefault="005309B8" w:rsidP="005309B8">
      <w:pPr>
        <w:pStyle w:val="NormalIndent"/>
        <w:rPr>
          <w:lang w:val="en-US"/>
        </w:rPr>
      </w:pPr>
      <w:r w:rsidRPr="005309B8">
        <w:rPr>
          <w:lang w:val="en-US"/>
        </w:rPr>
        <w:t xml:space="preserve">The </w:t>
      </w:r>
      <w:r w:rsidR="00B94762">
        <w:rPr>
          <w:lang w:val="en-US"/>
        </w:rPr>
        <w:t xml:space="preserve">new Regulation </w:t>
      </w:r>
      <w:r w:rsidR="00B94762" w:rsidRPr="00172385">
        <w:rPr>
          <w:lang w:val="en-IE"/>
        </w:rPr>
        <w:t xml:space="preserve">No 2018/1725 </w:t>
      </w:r>
      <w:r w:rsidRPr="005309B8">
        <w:rPr>
          <w:lang w:val="en-US"/>
        </w:rPr>
        <w:t xml:space="preserve">also provides that requests from judicial or administrative courts or authorities in non-EU countries for the transfer or disclosure of personal data </w:t>
      </w:r>
      <w:proofErr w:type="gramStart"/>
      <w:r w:rsidRPr="005309B8">
        <w:rPr>
          <w:lang w:val="en-US"/>
        </w:rPr>
        <w:t>can be enforced</w:t>
      </w:r>
      <w:proofErr w:type="gramEnd"/>
      <w:r w:rsidRPr="005309B8">
        <w:rPr>
          <w:lang w:val="en-US"/>
        </w:rPr>
        <w:t xml:space="preserve"> only if they are based on an international agreement (e.g. mutual assistance treaty).</w:t>
      </w:r>
    </w:p>
    <w:p w:rsidR="005309B8" w:rsidRDefault="005309B8" w:rsidP="005309B8">
      <w:pPr>
        <w:pStyle w:val="Heading2"/>
      </w:pPr>
      <w:bookmarkStart w:id="34" w:name="_Toc524354255"/>
      <w:r w:rsidRPr="005309B8">
        <w:t>Specific provisions for archiving (Article 13)</w:t>
      </w:r>
      <w:bookmarkEnd w:id="34"/>
    </w:p>
    <w:p w:rsidR="005309B8" w:rsidRDefault="005309B8" w:rsidP="005309B8">
      <w:pPr>
        <w:pStyle w:val="NormalIndent"/>
        <w:rPr>
          <w:lang w:val="en-US"/>
        </w:rPr>
      </w:pPr>
      <w:r w:rsidRPr="005309B8">
        <w:rPr>
          <w:lang w:val="en-US"/>
        </w:rPr>
        <w:t xml:space="preserve">The </w:t>
      </w:r>
      <w:r w:rsidR="00B94762">
        <w:rPr>
          <w:lang w:val="en-US"/>
        </w:rPr>
        <w:t xml:space="preserve">new Regulation </w:t>
      </w:r>
      <w:r w:rsidR="00B94762" w:rsidRPr="00172385">
        <w:rPr>
          <w:lang w:val="en-IE"/>
        </w:rPr>
        <w:t xml:space="preserve">No 2018/1725 </w:t>
      </w:r>
      <w:r w:rsidRPr="005309B8">
        <w:rPr>
          <w:lang w:val="en-US"/>
        </w:rPr>
        <w:t xml:space="preserve">introduces a provision on processing for archiving purposes; it underlines the need to put in place appropriate safeguards, such as </w:t>
      </w:r>
      <w:proofErr w:type="spellStart"/>
      <w:r w:rsidRPr="005309B8">
        <w:rPr>
          <w:lang w:val="en-US"/>
        </w:rPr>
        <w:t>pseudonymisation</w:t>
      </w:r>
      <w:proofErr w:type="spellEnd"/>
      <w:r w:rsidRPr="005309B8">
        <w:rPr>
          <w:lang w:val="en-US"/>
        </w:rPr>
        <w:t xml:space="preserve">, to ensure data </w:t>
      </w:r>
      <w:proofErr w:type="spellStart"/>
      <w:r w:rsidRPr="005309B8">
        <w:rPr>
          <w:lang w:val="en-US"/>
        </w:rPr>
        <w:t>minimisation</w:t>
      </w:r>
      <w:proofErr w:type="spellEnd"/>
      <w:r w:rsidRPr="005309B8">
        <w:rPr>
          <w:lang w:val="en-US"/>
        </w:rPr>
        <w:t>.</w:t>
      </w:r>
    </w:p>
    <w:p w:rsidR="00477878" w:rsidRPr="005309B8" w:rsidRDefault="00477878" w:rsidP="005309B8">
      <w:pPr>
        <w:pStyle w:val="NormalIndent"/>
        <w:rPr>
          <w:lang w:val="en-US"/>
        </w:rPr>
      </w:pPr>
    </w:p>
    <w:p w:rsidR="00156EA4" w:rsidRPr="00581154" w:rsidRDefault="005309B8" w:rsidP="009102CE">
      <w:pPr>
        <w:pStyle w:val="NormalIndent"/>
        <w:jc w:val="center"/>
      </w:pPr>
      <w:bookmarkStart w:id="35" w:name="_GoBack"/>
      <w:bookmarkEnd w:id="35"/>
      <w:r>
        <w:rPr>
          <w:noProof/>
          <w:sz w:val="20"/>
          <w:szCs w:val="20"/>
          <w:lang w:val="fr-FR" w:eastAsia="fr-FR"/>
        </w:rPr>
        <w:drawing>
          <wp:inline distT="0" distB="0" distL="0" distR="0" wp14:anchorId="0588EC85" wp14:editId="70E67072">
            <wp:extent cx="2181225" cy="10252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901" cy="1052345"/>
                    </a:xfrm>
                    <a:prstGeom prst="rect">
                      <a:avLst/>
                    </a:prstGeom>
                    <a:noFill/>
                    <a:ln>
                      <a:noFill/>
                    </a:ln>
                  </pic:spPr>
                </pic:pic>
              </a:graphicData>
            </a:graphic>
          </wp:inline>
        </w:drawing>
      </w:r>
    </w:p>
    <w:sectPr w:rsidR="00156EA4" w:rsidRPr="00581154" w:rsidSect="00741352">
      <w:pgSz w:w="11907" w:h="16839" w:code="9"/>
      <w:pgMar w:top="1418" w:right="1134"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9B8" w:rsidRDefault="005309B8" w:rsidP="001024BC">
      <w:pPr>
        <w:spacing w:after="0" w:line="240" w:lineRule="auto"/>
      </w:pPr>
      <w:r>
        <w:separator/>
      </w:r>
    </w:p>
  </w:endnote>
  <w:endnote w:type="continuationSeparator" w:id="0">
    <w:p w:rsidR="005309B8" w:rsidRDefault="005309B8" w:rsidP="00102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9B8" w:rsidRDefault="005309B8">
    <w:pPr>
      <w:pStyle w:val="Footer"/>
    </w:pPr>
    <w:r>
      <w:rPr>
        <w:noProof/>
        <w:lang w:val="fr-FR" w:eastAsia="fr-FR"/>
      </w:rPr>
      <w:drawing>
        <wp:anchor distT="0" distB="0" distL="114300" distR="114300" simplePos="0" relativeHeight="251661312" behindDoc="1" locked="0" layoutInCell="1" allowOverlap="1" wp14:anchorId="2667D98E" wp14:editId="7911D41B">
          <wp:simplePos x="0" y="0"/>
          <wp:positionH relativeFrom="column">
            <wp:posOffset>-553085</wp:posOffset>
          </wp:positionH>
          <wp:positionV relativeFrom="paragraph">
            <wp:posOffset>296993</wp:posOffset>
          </wp:positionV>
          <wp:extent cx="2054225" cy="433070"/>
          <wp:effectExtent l="0" t="0" r="317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225" cy="433070"/>
                  </a:xfrm>
                  <a:prstGeom prst="rect">
                    <a:avLst/>
                  </a:prstGeom>
                  <a:noFill/>
                </pic:spPr>
              </pic:pic>
            </a:graphicData>
          </a:graphic>
          <wp14:sizeRelH relativeFrom="page">
            <wp14:pctWidth>0</wp14:pctWidth>
          </wp14:sizeRelH>
          <wp14:sizeRelV relativeFrom="page">
            <wp14:pctHeight>0</wp14:pctHeight>
          </wp14:sizeRelV>
        </wp:anchor>
      </w:drawing>
    </w:r>
  </w:p>
  <w:p w:rsidR="005309B8" w:rsidRPr="00C067E2" w:rsidRDefault="005309B8" w:rsidP="005309B8">
    <w:pPr>
      <w:framePr w:wrap="around" w:vAnchor="text" w:hAnchor="page" w:x="10470" w:y="195"/>
      <w:rPr>
        <w:rStyle w:val="PageNumber"/>
      </w:rPr>
    </w:pPr>
    <w:r w:rsidRPr="00C067E2">
      <w:rPr>
        <w:sz w:val="15"/>
      </w:rPr>
      <w:fldChar w:fldCharType="begin"/>
    </w:r>
    <w:r w:rsidRPr="00C067E2">
      <w:rPr>
        <w:sz w:val="15"/>
      </w:rPr>
      <w:instrText xml:space="preserve"> PAGE </w:instrText>
    </w:r>
    <w:r w:rsidRPr="00C067E2">
      <w:rPr>
        <w:sz w:val="15"/>
      </w:rPr>
      <w:fldChar w:fldCharType="separate"/>
    </w:r>
    <w:r w:rsidR="009102CE">
      <w:rPr>
        <w:noProof/>
        <w:sz w:val="15"/>
      </w:rPr>
      <w:t>11</w:t>
    </w:r>
    <w:r w:rsidRPr="00C067E2">
      <w:rPr>
        <w:sz w:val="15"/>
      </w:rPr>
      <w:fldChar w:fldCharType="end"/>
    </w:r>
    <w:r w:rsidRPr="00C067E2">
      <w:rPr>
        <w:sz w:val="15"/>
      </w:rPr>
      <w:t xml:space="preserve"> / </w:t>
    </w:r>
    <w:r w:rsidRPr="00C067E2">
      <w:rPr>
        <w:sz w:val="15"/>
      </w:rPr>
      <w:fldChar w:fldCharType="begin"/>
    </w:r>
    <w:r w:rsidRPr="00C067E2">
      <w:rPr>
        <w:sz w:val="15"/>
      </w:rPr>
      <w:instrText xml:space="preserve"> NUMPAGES  </w:instrText>
    </w:r>
    <w:r w:rsidRPr="00C067E2">
      <w:rPr>
        <w:sz w:val="15"/>
      </w:rPr>
      <w:fldChar w:fldCharType="separate"/>
    </w:r>
    <w:r w:rsidR="009102CE">
      <w:rPr>
        <w:noProof/>
        <w:sz w:val="15"/>
      </w:rPr>
      <w:t>11</w:t>
    </w:r>
    <w:r w:rsidRPr="00C067E2">
      <w:rPr>
        <w:sz w:val="15"/>
      </w:rPr>
      <w:fldChar w:fldCharType="end"/>
    </w:r>
  </w:p>
  <w:p w:rsidR="005309B8" w:rsidRDefault="005309B8" w:rsidP="005309B8">
    <w:pPr>
      <w:pStyle w:val="Footer"/>
      <w:jc w:val="center"/>
    </w:pPr>
  </w:p>
  <w:p w:rsidR="005309B8" w:rsidRDefault="005309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9B8" w:rsidRDefault="005309B8" w:rsidP="001024BC">
      <w:pPr>
        <w:spacing w:after="0" w:line="240" w:lineRule="auto"/>
      </w:pPr>
      <w:r>
        <w:separator/>
      </w:r>
    </w:p>
  </w:footnote>
  <w:footnote w:type="continuationSeparator" w:id="0">
    <w:p w:rsidR="005309B8" w:rsidRDefault="005309B8" w:rsidP="001024BC">
      <w:pPr>
        <w:spacing w:after="0" w:line="240" w:lineRule="auto"/>
      </w:pPr>
      <w:r>
        <w:continuationSeparator/>
      </w:r>
    </w:p>
  </w:footnote>
  <w:footnote w:id="1">
    <w:p w:rsidR="005309B8" w:rsidRPr="00C754B0" w:rsidRDefault="005309B8" w:rsidP="00C754B0">
      <w:pPr>
        <w:pStyle w:val="FootnoteText"/>
      </w:pPr>
      <w:r>
        <w:rPr>
          <w:rStyle w:val="FootnoteReference"/>
        </w:rPr>
        <w:footnoteRef/>
      </w:r>
      <w:r>
        <w:t xml:space="preserve"> </w:t>
      </w:r>
      <w:proofErr w:type="gramStart"/>
      <w:r w:rsidRPr="00C754B0">
        <w:t xml:space="preserve">Disclaimer: This document provides a general overview of the key elements in the </w:t>
      </w:r>
      <w:r w:rsidR="00B03676">
        <w:t>new</w:t>
      </w:r>
      <w:r w:rsidRPr="00C754B0">
        <w:t xml:space="preserve"> </w:t>
      </w:r>
      <w:r w:rsidR="000F10A5" w:rsidRPr="00172385">
        <w:rPr>
          <w:lang w:val="en-IE"/>
        </w:rPr>
        <w:t xml:space="preserve">Regulation (EU) No 2018/1725 of the European Parliament and of the Council of 23 October 2018 </w:t>
      </w:r>
      <w:r w:rsidR="000F10A5" w:rsidRPr="00172385">
        <w:rPr>
          <w:lang w:val="en"/>
        </w:rPr>
        <w:t>on the protection of individuals with regard to the processing of personal data by the Union institutions, bodies, offices and agencies and on the free movement of such data, and repealing Regulation (EC) No 45/2001 and Decision No 1247/2002/EC (the ‘EU Data Protection Regulation’).</w:t>
      </w:r>
      <w:proofErr w:type="gramEnd"/>
      <w:r w:rsidR="000F10A5" w:rsidRPr="00C754B0">
        <w:t xml:space="preserve"> </w:t>
      </w:r>
      <w:r w:rsidR="00237D24">
        <w:t>T</w:t>
      </w:r>
      <w:r w:rsidRPr="00C754B0">
        <w:t xml:space="preserve">he text is amended by the </w:t>
      </w:r>
      <w:r w:rsidR="000F10A5">
        <w:t>CPVO</w:t>
      </w:r>
      <w:r w:rsidRPr="00C754B0">
        <w:t xml:space="preserve"> DPO to reflect the necessary changes </w:t>
      </w:r>
      <w:proofErr w:type="gramStart"/>
      <w:r w:rsidRPr="00C754B0">
        <w:t>at the moment</w:t>
      </w:r>
      <w:proofErr w:type="gramEnd"/>
      <w:r w:rsidRPr="00C754B0">
        <w:t xml:space="preserve"> of making it available at the </w:t>
      </w:r>
      <w:r w:rsidR="000F10A5">
        <w:t>CPVO</w:t>
      </w:r>
      <w:r w:rsidRPr="00C754B0">
        <w:t>.</w:t>
      </w:r>
    </w:p>
    <w:p w:rsidR="005309B8" w:rsidRPr="00C754B0" w:rsidRDefault="005309B8">
      <w:pPr>
        <w:pStyle w:val="FootnoteText"/>
      </w:pPr>
    </w:p>
  </w:footnote>
  <w:footnote w:id="2">
    <w:p w:rsidR="005309B8" w:rsidRPr="00570EBC" w:rsidRDefault="005309B8" w:rsidP="00156EA4">
      <w:pPr>
        <w:pStyle w:val="FootnoteText"/>
        <w:rPr>
          <w:lang w:val="en-IE"/>
        </w:rPr>
      </w:pPr>
      <w:r>
        <w:rPr>
          <w:rStyle w:val="FootnoteReference"/>
        </w:rPr>
        <w:footnoteRef/>
      </w:r>
      <w:r>
        <w:t xml:space="preserve"> </w:t>
      </w:r>
      <w:proofErr w:type="gramStart"/>
      <w:r>
        <w:rPr>
          <w:lang w:val="en-IE"/>
        </w:rPr>
        <w:t>Regulation (EU) 2016/679 of the European Parliament and the Council of 27 April 2016 on the protection of natural persons with regard to the processing of personal data and on the free movement of such data, and repealing Directive 95/46/EC of the European parliament and the Council of 24 October 1995 on the protection of individuals with regard to processing personal data and on the free movement of such data.</w:t>
      </w:r>
      <w:proofErr w:type="gramEnd"/>
    </w:p>
  </w:footnote>
  <w:footnote w:id="3">
    <w:p w:rsidR="005309B8" w:rsidRPr="00355988" w:rsidRDefault="005309B8" w:rsidP="00156EA4">
      <w:pPr>
        <w:pStyle w:val="FootnoteText"/>
        <w:rPr>
          <w:lang w:val="en-IE"/>
        </w:rPr>
      </w:pPr>
      <w:r>
        <w:rPr>
          <w:rStyle w:val="FootnoteReference"/>
        </w:rPr>
        <w:footnoteRef/>
      </w:r>
      <w:r>
        <w:t xml:space="preserve"> Regulation (EC) 45/2001 </w:t>
      </w:r>
      <w:r>
        <w:rPr>
          <w:lang w:val="en-IE"/>
        </w:rPr>
        <w:t>of the European Parliament and the Council of 18 December 2000 on the protection of individuals with regard to the processing of personal data by the Community institutions and bodies and on the free movement of such data.</w:t>
      </w:r>
    </w:p>
  </w:footnote>
  <w:footnote w:id="4">
    <w:p w:rsidR="005309B8" w:rsidRPr="0063718E" w:rsidRDefault="005309B8" w:rsidP="00156EA4">
      <w:pPr>
        <w:pStyle w:val="FootnoteText"/>
        <w:rPr>
          <w:lang w:val="en-IE"/>
        </w:rPr>
      </w:pPr>
      <w:r>
        <w:rPr>
          <w:rStyle w:val="FootnoteReference"/>
        </w:rPr>
        <w:footnoteRef/>
      </w:r>
      <w:r>
        <w:t xml:space="preserve"> </w:t>
      </w:r>
      <w:r>
        <w:rPr>
          <w:lang w:val="en-IE"/>
        </w:rPr>
        <w:t xml:space="preserve">Accountability </w:t>
      </w:r>
      <w:r w:rsidRPr="0063718E">
        <w:rPr>
          <w:lang w:val="en-IE"/>
        </w:rPr>
        <w:t xml:space="preserve">means that the controller is in charge of </w:t>
      </w:r>
      <w:r>
        <w:rPr>
          <w:lang w:val="en-IE"/>
        </w:rPr>
        <w:t xml:space="preserve">and responsible for </w:t>
      </w:r>
      <w:r w:rsidRPr="0063718E">
        <w:rPr>
          <w:lang w:val="en-IE"/>
        </w:rPr>
        <w:t xml:space="preserve">ensuring compliance </w:t>
      </w:r>
      <w:r>
        <w:rPr>
          <w:lang w:val="en-IE"/>
        </w:rPr>
        <w:t xml:space="preserve">with all the principles relating to processing of personal data (see point 3.1 of this Guide) </w:t>
      </w:r>
      <w:r w:rsidRPr="0063718E">
        <w:rPr>
          <w:lang w:val="en-IE"/>
        </w:rPr>
        <w:t>and being able to demonstrate that compliance.</w:t>
      </w:r>
      <w:r>
        <w:rPr>
          <w:lang w:val="en-IE"/>
        </w:rPr>
        <w:t xml:space="preserve"> (EDPS: </w:t>
      </w:r>
      <w:hyperlink r:id="rId1" w:history="1">
        <w:r>
          <w:rPr>
            <w:rStyle w:val="Hyperlink"/>
            <w:lang w:val="en-IE"/>
          </w:rPr>
          <w:t>Accountability on the ground: Provisional guidance on documenting processing operations for EU institutions, bodies and agencies</w:t>
        </w:r>
      </w:hyperlink>
      <w:r>
        <w:rPr>
          <w:lang w:val="en-IE"/>
        </w:rPr>
        <w:t xml:space="preserve">). </w:t>
      </w:r>
    </w:p>
  </w:footnote>
  <w:footnote w:id="5">
    <w:p w:rsidR="005309B8" w:rsidRPr="00DE3045" w:rsidRDefault="005309B8" w:rsidP="00156EA4">
      <w:pPr>
        <w:pStyle w:val="FootnoteText"/>
        <w:rPr>
          <w:lang w:val="en-IE"/>
        </w:rPr>
      </w:pPr>
      <w:r>
        <w:rPr>
          <w:rStyle w:val="FootnoteReference"/>
        </w:rPr>
        <w:footnoteRef/>
      </w:r>
      <w:r>
        <w:t xml:space="preserve"> Article 25 of the GDPR obliges controllers to "implement appropriate technical and organisational measures (…), which are designed to implement data protection principles, (…) and to integrate the necessary safeguards into the processing in order to meet the requirements of this Regulation and protect the rights of data subjects". The controller shall observe this obligation both "at the time of the determination of the means for processing", i.e. when the processing systems </w:t>
      </w:r>
      <w:proofErr w:type="gramStart"/>
      <w:r>
        <w:t>are designed, developed and tested,</w:t>
      </w:r>
      <w:proofErr w:type="gramEnd"/>
      <w:r>
        <w:t xml:space="preserve"> and "at the time of the processing itself," i.e. when the system is running in production mode.</w:t>
      </w:r>
      <w:r w:rsidRPr="00DE3045">
        <w:t xml:space="preserve"> </w:t>
      </w:r>
      <w:r>
        <w:t>It shall further ensure that, "by default, only personal data which are necessary for each specific purpose of the processing are processed" (data protection by default).</w:t>
      </w:r>
      <w:r w:rsidR="00477878" w:rsidRPr="00DE3045">
        <w:rPr>
          <w:lang w:val="en-IE"/>
        </w:rPr>
        <w:t xml:space="preserve"> </w:t>
      </w:r>
    </w:p>
  </w:footnote>
  <w:footnote w:id="6">
    <w:p w:rsidR="00477878" w:rsidRPr="00477878" w:rsidRDefault="00477878" w:rsidP="00477878">
      <w:pPr>
        <w:pStyle w:val="FootnoteText"/>
      </w:pPr>
      <w:r>
        <w:rPr>
          <w:rStyle w:val="FootnoteReference"/>
        </w:rPr>
        <w:footnoteRef/>
      </w:r>
      <w:r>
        <w:t xml:space="preserve"> </w:t>
      </w:r>
      <w:r w:rsidRPr="00477878">
        <w:t>Proposal for regulation of the EU Parliament and the Council concerning the respect for private life and the protection of personal data in electronic communications and repealing Directive 2002/58/EC (Regulation on Privacy and Electronic Communications).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9B8" w:rsidRDefault="005309B8">
    <w:pPr>
      <w:pStyle w:val="Header"/>
    </w:pPr>
    <w:r w:rsidRPr="005C7861">
      <w:rPr>
        <w:noProof/>
        <w:lang w:val="fr-FR" w:eastAsia="fr-FR"/>
      </w:rPr>
      <w:drawing>
        <wp:anchor distT="0" distB="0" distL="114935" distR="114935" simplePos="0" relativeHeight="251659264" behindDoc="0" locked="0" layoutInCell="1" allowOverlap="1" wp14:anchorId="6026934A" wp14:editId="42ED6C67">
          <wp:simplePos x="0" y="0"/>
          <wp:positionH relativeFrom="page">
            <wp:posOffset>365125</wp:posOffset>
          </wp:positionH>
          <wp:positionV relativeFrom="page">
            <wp:posOffset>444064</wp:posOffset>
          </wp:positionV>
          <wp:extent cx="2531745" cy="747395"/>
          <wp:effectExtent l="0" t="0" r="1905" b="0"/>
          <wp:wrapTight wrapText="bothSides">
            <wp:wrapPolygon edited="0">
              <wp:start x="0" y="0"/>
              <wp:lineTo x="0" y="20921"/>
              <wp:lineTo x="21454" y="20921"/>
              <wp:lineTo x="21454" y="0"/>
              <wp:lineTo x="0" y="0"/>
            </wp:wrapPolygon>
          </wp:wrapTight>
          <wp:docPr id="22" name="Picture 22" descr="LogoCPVO_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CPVO_PL"/>
                  <pic:cNvPicPr>
                    <a:picLocks noChangeAspect="1" noChangeArrowheads="1"/>
                  </pic:cNvPicPr>
                </pic:nvPicPr>
                <pic:blipFill rotWithShape="1">
                  <a:blip r:embed="rId1"/>
                  <a:srcRect t="10174" b="16250"/>
                  <a:stretch/>
                </pic:blipFill>
                <pic:spPr bwMode="auto">
                  <a:xfrm>
                    <a:off x="0" y="0"/>
                    <a:ext cx="2531745" cy="7473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BC4B2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C531A4"/>
    <w:multiLevelType w:val="hybridMultilevel"/>
    <w:tmpl w:val="5C8E17AA"/>
    <w:lvl w:ilvl="0" w:tplc="1809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C1B0B72"/>
    <w:multiLevelType w:val="hybridMultilevel"/>
    <w:tmpl w:val="C23642E0"/>
    <w:lvl w:ilvl="0" w:tplc="1809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22C87E82"/>
    <w:multiLevelType w:val="hybridMultilevel"/>
    <w:tmpl w:val="B04AA79A"/>
    <w:lvl w:ilvl="0" w:tplc="21842F08">
      <w:start w:val="1"/>
      <w:numFmt w:val="upperRoman"/>
      <w:lvlText w:val="Annex %1."/>
      <w:lvlJc w:val="left"/>
      <w:pPr>
        <w:ind w:left="360" w:hanging="360"/>
      </w:pPr>
      <w:rPr>
        <w:rFonts w:ascii="Tahoma" w:hAnsi="Tahoma"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B073DB"/>
    <w:multiLevelType w:val="multilevel"/>
    <w:tmpl w:val="8D3CD766"/>
    <w:numStyleLink w:val="CPVOCorporateHeadings"/>
  </w:abstractNum>
  <w:abstractNum w:abstractNumId="5" w15:restartNumberingAfterBreak="0">
    <w:nsid w:val="39535FAB"/>
    <w:multiLevelType w:val="hybridMultilevel"/>
    <w:tmpl w:val="DF5EA502"/>
    <w:lvl w:ilvl="0" w:tplc="1809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39EE0F59"/>
    <w:multiLevelType w:val="hybridMultilevel"/>
    <w:tmpl w:val="B030CB56"/>
    <w:lvl w:ilvl="0" w:tplc="D5604514">
      <w:start w:val="1"/>
      <w:numFmt w:val="decimal"/>
      <w:pStyle w:val="LegalRecitalsNumbering"/>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pStyle w:val="Heading6"/>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090BA5"/>
    <w:multiLevelType w:val="hybridMultilevel"/>
    <w:tmpl w:val="23746D0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D397A68"/>
    <w:multiLevelType w:val="hybridMultilevel"/>
    <w:tmpl w:val="50A675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2B00C59"/>
    <w:multiLevelType w:val="hybridMultilevel"/>
    <w:tmpl w:val="E148360C"/>
    <w:lvl w:ilvl="0" w:tplc="1809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4F8B58DE"/>
    <w:multiLevelType w:val="hybridMultilevel"/>
    <w:tmpl w:val="2ED28F0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6B81360"/>
    <w:multiLevelType w:val="hybridMultilevel"/>
    <w:tmpl w:val="1CBCBD7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77E383A"/>
    <w:multiLevelType w:val="multilevel"/>
    <w:tmpl w:val="040C001D"/>
    <w:styleLink w:val="CPVO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84A4CAF"/>
    <w:multiLevelType w:val="hybridMultilevel"/>
    <w:tmpl w:val="337C69D2"/>
    <w:lvl w:ilvl="0" w:tplc="1809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59AE4147"/>
    <w:multiLevelType w:val="hybridMultilevel"/>
    <w:tmpl w:val="F7A6296C"/>
    <w:lvl w:ilvl="0" w:tplc="1809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5E507BCC"/>
    <w:multiLevelType w:val="hybridMultilevel"/>
    <w:tmpl w:val="F252BEFE"/>
    <w:lvl w:ilvl="0" w:tplc="178A7828">
      <w:start w:val="1"/>
      <w:numFmt w:val="upperRoman"/>
      <w:pStyle w:val="AnnexNumber"/>
      <w:lvlText w:val="Annex %1."/>
      <w:lvlJc w:val="left"/>
      <w:pPr>
        <w:ind w:left="720" w:hanging="360"/>
      </w:pPr>
      <w:rPr>
        <w:rFonts w:ascii="Tahoma" w:hAnsi="Tahoma"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6373C2"/>
    <w:multiLevelType w:val="hybridMultilevel"/>
    <w:tmpl w:val="5290F2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8F83E1B"/>
    <w:multiLevelType w:val="multilevel"/>
    <w:tmpl w:val="8D3CD766"/>
    <w:styleLink w:val="CPVOCorporateHeadings"/>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lowerLetter"/>
      <w:pStyle w:val="Heading4"/>
      <w:lvlText w:val="%4)"/>
      <w:lvlJc w:val="left"/>
      <w:pPr>
        <w:ind w:left="1134" w:hanging="567"/>
      </w:pPr>
      <w:rPr>
        <w:rFonts w:hint="default"/>
      </w:rPr>
    </w:lvl>
    <w:lvl w:ilvl="4">
      <w:start w:val="1"/>
      <w:numFmt w:val="lowerRoman"/>
      <w:pStyle w:val="Heading5"/>
      <w:lvlText w:val="%5."/>
      <w:lvlJc w:val="left"/>
      <w:pPr>
        <w:ind w:left="1418" w:hanging="567"/>
      </w:pPr>
      <w:rPr>
        <w:rFonts w:hint="default"/>
      </w:rPr>
    </w:lvl>
    <w:lvl w:ilvl="5">
      <w:start w:val="1"/>
      <w:numFmt w:val="bullet"/>
      <w:lvlText w:val=""/>
      <w:lvlJc w:val="left"/>
      <w:pPr>
        <w:ind w:left="1418" w:hanging="284"/>
      </w:pPr>
      <w:rPr>
        <w:rFonts w:ascii="Symbol" w:hAnsi="Symbol" w:hint="default"/>
        <w:color w:val="auto"/>
      </w:rPr>
    </w:lvl>
    <w:lvl w:ilvl="6">
      <w:start w:val="1"/>
      <w:numFmt w:val="bullet"/>
      <w:pStyle w:val="Heading7"/>
      <w:lvlText w:val=""/>
      <w:lvlJc w:val="left"/>
      <w:pPr>
        <w:ind w:left="1588" w:hanging="284"/>
      </w:pPr>
      <w:rPr>
        <w:rFonts w:ascii="Symbol" w:hAnsi="Symbol" w:hint="default"/>
        <w:color w:val="auto"/>
      </w:rPr>
    </w:lvl>
    <w:lvl w:ilvl="7">
      <w:start w:val="1"/>
      <w:numFmt w:val="none"/>
      <w:pStyle w:val="Heading8"/>
      <w:lvlText w:val=""/>
      <w:lvlJc w:val="left"/>
      <w:pPr>
        <w:ind w:left="567" w:hanging="567"/>
      </w:pPr>
      <w:rPr>
        <w:rFonts w:hint="default"/>
      </w:rPr>
    </w:lvl>
    <w:lvl w:ilvl="8">
      <w:start w:val="1"/>
      <w:numFmt w:val="none"/>
      <w:pStyle w:val="Heading9"/>
      <w:lvlText w:val=""/>
      <w:lvlJc w:val="left"/>
      <w:pPr>
        <w:ind w:left="567" w:hanging="567"/>
      </w:pPr>
      <w:rPr>
        <w:rFonts w:hint="default"/>
      </w:rPr>
    </w:lvl>
  </w:abstractNum>
  <w:abstractNum w:abstractNumId="18" w15:restartNumberingAfterBreak="0">
    <w:nsid w:val="6D505DF1"/>
    <w:multiLevelType w:val="hybridMultilevel"/>
    <w:tmpl w:val="83CE1B04"/>
    <w:lvl w:ilvl="0" w:tplc="1809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72BA27EC"/>
    <w:multiLevelType w:val="hybridMultilevel"/>
    <w:tmpl w:val="73563CC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0"/>
  </w:num>
  <w:num w:numId="2">
    <w:abstractNumId w:val="12"/>
  </w:num>
  <w:num w:numId="3">
    <w:abstractNumId w:val="17"/>
  </w:num>
  <w:num w:numId="4">
    <w:abstractNumId w:val="4"/>
  </w:num>
  <w:num w:numId="5">
    <w:abstractNumId w:val="4"/>
  </w:num>
  <w:num w:numId="6">
    <w:abstractNumId w:val="6"/>
  </w:num>
  <w:num w:numId="7">
    <w:abstractNumId w:val="3"/>
  </w:num>
  <w:num w:numId="8">
    <w:abstractNumId w:val="15"/>
  </w:num>
  <w:num w:numId="9">
    <w:abstractNumId w:val="15"/>
  </w:num>
  <w:num w:numId="10">
    <w:abstractNumId w:val="4"/>
  </w:num>
  <w:num w:numId="11">
    <w:abstractNumId w:val="4"/>
  </w:num>
  <w:num w:numId="12">
    <w:abstractNumId w:val="4"/>
  </w:num>
  <w:num w:numId="13">
    <w:abstractNumId w:val="4"/>
  </w:num>
  <w:num w:numId="14">
    <w:abstractNumId w:val="4"/>
  </w:num>
  <w:num w:numId="15">
    <w:abstractNumId w:val="6"/>
  </w:num>
  <w:num w:numId="16">
    <w:abstractNumId w:val="6"/>
  </w:num>
  <w:num w:numId="17">
    <w:abstractNumId w:val="15"/>
  </w:num>
  <w:num w:numId="18">
    <w:abstractNumId w:val="4"/>
  </w:num>
  <w:num w:numId="19">
    <w:abstractNumId w:val="4"/>
  </w:num>
  <w:num w:numId="20">
    <w:abstractNumId w:val="15"/>
  </w:num>
  <w:num w:numId="21">
    <w:abstractNumId w:val="0"/>
  </w:num>
  <w:num w:numId="22">
    <w:abstractNumId w:val="17"/>
  </w:num>
  <w:num w:numId="23">
    <w:abstractNumId w:val="12"/>
  </w:num>
  <w:num w:numId="24">
    <w:abstractNumId w:val="4"/>
  </w:num>
  <w:num w:numId="25">
    <w:abstractNumId w:val="4"/>
  </w:num>
  <w:num w:numId="26">
    <w:abstractNumId w:val="4"/>
  </w:num>
  <w:num w:numId="27">
    <w:abstractNumId w:val="6"/>
  </w:num>
  <w:num w:numId="28">
    <w:abstractNumId w:val="4"/>
  </w:num>
  <w:num w:numId="29">
    <w:abstractNumId w:val="4"/>
  </w:num>
  <w:num w:numId="30">
    <w:abstractNumId w:val="4"/>
  </w:num>
  <w:num w:numId="31">
    <w:abstractNumId w:val="6"/>
  </w:num>
  <w:num w:numId="32">
    <w:abstractNumId w:val="16"/>
  </w:num>
  <w:num w:numId="33">
    <w:abstractNumId w:val="19"/>
  </w:num>
  <w:num w:numId="34">
    <w:abstractNumId w:val="8"/>
  </w:num>
  <w:num w:numId="35">
    <w:abstractNumId w:val="7"/>
  </w:num>
  <w:num w:numId="36">
    <w:abstractNumId w:val="11"/>
  </w:num>
  <w:num w:numId="37">
    <w:abstractNumId w:val="10"/>
  </w:num>
  <w:num w:numId="38">
    <w:abstractNumId w:val="2"/>
  </w:num>
  <w:num w:numId="39">
    <w:abstractNumId w:val="9"/>
  </w:num>
  <w:num w:numId="40">
    <w:abstractNumId w:val="18"/>
  </w:num>
  <w:num w:numId="41">
    <w:abstractNumId w:val="13"/>
  </w:num>
  <w:num w:numId="42">
    <w:abstractNumId w:val="14"/>
  </w:num>
  <w:num w:numId="43">
    <w:abstractNumId w:val="5"/>
  </w:num>
  <w:num w:numId="4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U3MLawNDI2NTUzNrdU0lEKTi0uzszPAykwqgUAdI3nnywAAAA="/>
  </w:docVars>
  <w:rsids>
    <w:rsidRoot w:val="00C754B0"/>
    <w:rsid w:val="000079D9"/>
    <w:rsid w:val="00043771"/>
    <w:rsid w:val="0007657D"/>
    <w:rsid w:val="0009157B"/>
    <w:rsid w:val="00093E28"/>
    <w:rsid w:val="000949EA"/>
    <w:rsid w:val="000D3383"/>
    <w:rsid w:val="000F10A5"/>
    <w:rsid w:val="001024BC"/>
    <w:rsid w:val="001229D4"/>
    <w:rsid w:val="00126297"/>
    <w:rsid w:val="00127644"/>
    <w:rsid w:val="00130483"/>
    <w:rsid w:val="00156EA4"/>
    <w:rsid w:val="00172385"/>
    <w:rsid w:val="001D324C"/>
    <w:rsid w:val="00210D1D"/>
    <w:rsid w:val="00215C07"/>
    <w:rsid w:val="00237D24"/>
    <w:rsid w:val="00277A7B"/>
    <w:rsid w:val="00287288"/>
    <w:rsid w:val="002921B7"/>
    <w:rsid w:val="002B0628"/>
    <w:rsid w:val="002D5EC3"/>
    <w:rsid w:val="003252DE"/>
    <w:rsid w:val="00392105"/>
    <w:rsid w:val="003C4F32"/>
    <w:rsid w:val="003E48D9"/>
    <w:rsid w:val="00405DD8"/>
    <w:rsid w:val="0042661A"/>
    <w:rsid w:val="004561EA"/>
    <w:rsid w:val="004673D6"/>
    <w:rsid w:val="00477878"/>
    <w:rsid w:val="004A31C5"/>
    <w:rsid w:val="004C2559"/>
    <w:rsid w:val="004D2E3C"/>
    <w:rsid w:val="004D6902"/>
    <w:rsid w:val="004F7961"/>
    <w:rsid w:val="00501450"/>
    <w:rsid w:val="00524554"/>
    <w:rsid w:val="005309B8"/>
    <w:rsid w:val="0054628C"/>
    <w:rsid w:val="00551621"/>
    <w:rsid w:val="005606E7"/>
    <w:rsid w:val="00581154"/>
    <w:rsid w:val="005C2718"/>
    <w:rsid w:val="005D13FF"/>
    <w:rsid w:val="005D38F1"/>
    <w:rsid w:val="00617D52"/>
    <w:rsid w:val="00622F29"/>
    <w:rsid w:val="006655D2"/>
    <w:rsid w:val="006702F4"/>
    <w:rsid w:val="006A7A9D"/>
    <w:rsid w:val="006F4317"/>
    <w:rsid w:val="006F4BEA"/>
    <w:rsid w:val="007141C2"/>
    <w:rsid w:val="00741352"/>
    <w:rsid w:val="00767938"/>
    <w:rsid w:val="007911EE"/>
    <w:rsid w:val="007B0C61"/>
    <w:rsid w:val="007B2818"/>
    <w:rsid w:val="007D5ED1"/>
    <w:rsid w:val="007E7987"/>
    <w:rsid w:val="00813422"/>
    <w:rsid w:val="00816B62"/>
    <w:rsid w:val="00834999"/>
    <w:rsid w:val="008826CA"/>
    <w:rsid w:val="008963FE"/>
    <w:rsid w:val="009102CE"/>
    <w:rsid w:val="00960C4B"/>
    <w:rsid w:val="00970FAE"/>
    <w:rsid w:val="00993D1B"/>
    <w:rsid w:val="009A28AE"/>
    <w:rsid w:val="009B43BD"/>
    <w:rsid w:val="009C48E9"/>
    <w:rsid w:val="00A37420"/>
    <w:rsid w:val="00A406CB"/>
    <w:rsid w:val="00A44781"/>
    <w:rsid w:val="00A45E8F"/>
    <w:rsid w:val="00A54E10"/>
    <w:rsid w:val="00A55C98"/>
    <w:rsid w:val="00A65D57"/>
    <w:rsid w:val="00A67993"/>
    <w:rsid w:val="00AC3F1B"/>
    <w:rsid w:val="00AE2563"/>
    <w:rsid w:val="00AE2EEE"/>
    <w:rsid w:val="00B03676"/>
    <w:rsid w:val="00B05DE1"/>
    <w:rsid w:val="00B11895"/>
    <w:rsid w:val="00B11F61"/>
    <w:rsid w:val="00B240ED"/>
    <w:rsid w:val="00B43216"/>
    <w:rsid w:val="00B94762"/>
    <w:rsid w:val="00BE3841"/>
    <w:rsid w:val="00C0121F"/>
    <w:rsid w:val="00C0342C"/>
    <w:rsid w:val="00C2561B"/>
    <w:rsid w:val="00C54F1E"/>
    <w:rsid w:val="00C754B0"/>
    <w:rsid w:val="00CA2CF9"/>
    <w:rsid w:val="00CA7B7B"/>
    <w:rsid w:val="00D2310B"/>
    <w:rsid w:val="00D47BD5"/>
    <w:rsid w:val="00D55648"/>
    <w:rsid w:val="00D6603A"/>
    <w:rsid w:val="00D72691"/>
    <w:rsid w:val="00D962E9"/>
    <w:rsid w:val="00E007C2"/>
    <w:rsid w:val="00E15333"/>
    <w:rsid w:val="00E350EE"/>
    <w:rsid w:val="00E36963"/>
    <w:rsid w:val="00E62236"/>
    <w:rsid w:val="00E6429C"/>
    <w:rsid w:val="00E75C03"/>
    <w:rsid w:val="00E77C89"/>
    <w:rsid w:val="00EF1A75"/>
    <w:rsid w:val="00F2483D"/>
    <w:rsid w:val="00F97B10"/>
    <w:rsid w:val="00FB2AEA"/>
    <w:rsid w:val="00FD2BC0"/>
    <w:rsid w:val="00FD5E97"/>
    <w:rsid w:val="00FE6464"/>
    <w:rsid w:val="00FF123D"/>
    <w:rsid w:val="00FF6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EA0A67D"/>
  <w15:chartTrackingRefBased/>
  <w15:docId w15:val="{70B60E1D-84C8-4D63-A1AC-81E82BE7A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mbr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0"/>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352"/>
    <w:pPr>
      <w:suppressAutoHyphens/>
      <w:jc w:val="both"/>
    </w:pPr>
    <w:rPr>
      <w:rFonts w:ascii="Tahoma" w:hAnsi="Tahoma" w:cs="Tahoma"/>
      <w:bCs/>
      <w:spacing w:val="-3"/>
      <w:sz w:val="18"/>
      <w:szCs w:val="18"/>
      <w:lang w:val="en-GB"/>
    </w:rPr>
  </w:style>
  <w:style w:type="paragraph" w:styleId="Heading1">
    <w:name w:val="heading 1"/>
    <w:next w:val="NormalIndent"/>
    <w:link w:val="Heading1Char"/>
    <w:uiPriority w:val="2"/>
    <w:qFormat/>
    <w:rsid w:val="00741352"/>
    <w:pPr>
      <w:keepNext/>
      <w:numPr>
        <w:numId w:val="30"/>
      </w:numPr>
      <w:spacing w:before="360" w:after="240" w:line="240" w:lineRule="auto"/>
      <w:outlineLvl w:val="0"/>
    </w:pPr>
    <w:rPr>
      <w:rFonts w:ascii="Tahoma" w:eastAsia="Times New Roman" w:hAnsi="Tahoma" w:cs="Tahoma"/>
      <w:b/>
      <w:spacing w:val="-3"/>
      <w:kern w:val="32"/>
      <w:sz w:val="24"/>
      <w:szCs w:val="32"/>
    </w:rPr>
  </w:style>
  <w:style w:type="paragraph" w:styleId="Heading2">
    <w:name w:val="heading 2"/>
    <w:basedOn w:val="Heading1"/>
    <w:next w:val="NormalIndent"/>
    <w:link w:val="Heading2Char"/>
    <w:uiPriority w:val="2"/>
    <w:qFormat/>
    <w:rsid w:val="00741352"/>
    <w:pPr>
      <w:numPr>
        <w:ilvl w:val="1"/>
      </w:numPr>
      <w:outlineLvl w:val="1"/>
    </w:pPr>
    <w:rPr>
      <w:sz w:val="20"/>
      <w:szCs w:val="20"/>
    </w:rPr>
  </w:style>
  <w:style w:type="paragraph" w:styleId="Heading3">
    <w:name w:val="heading 3"/>
    <w:basedOn w:val="Heading2"/>
    <w:next w:val="NormalIndent"/>
    <w:link w:val="Heading3Char"/>
    <w:uiPriority w:val="2"/>
    <w:unhideWhenUsed/>
    <w:qFormat/>
    <w:rsid w:val="00741352"/>
    <w:pPr>
      <w:numPr>
        <w:ilvl w:val="2"/>
      </w:numPr>
      <w:outlineLvl w:val="2"/>
    </w:pPr>
    <w:rPr>
      <w:rFonts w:eastAsia="Cambria"/>
      <w:b w:val="0"/>
      <w:bCs/>
      <w:kern w:val="0"/>
      <w:lang w:val="en-GB"/>
    </w:rPr>
  </w:style>
  <w:style w:type="paragraph" w:styleId="Heading4">
    <w:name w:val="heading 4"/>
    <w:basedOn w:val="Heading3"/>
    <w:link w:val="Heading4Char"/>
    <w:autoRedefine/>
    <w:uiPriority w:val="9"/>
    <w:unhideWhenUsed/>
    <w:qFormat/>
    <w:rsid w:val="00741352"/>
    <w:pPr>
      <w:keepNext w:val="0"/>
      <w:numPr>
        <w:ilvl w:val="3"/>
      </w:numPr>
      <w:outlineLvl w:val="3"/>
    </w:pPr>
    <w:rPr>
      <w:iCs/>
      <w:kern w:val="32"/>
      <w:sz w:val="18"/>
      <w:lang w:val="fr-FR"/>
    </w:rPr>
  </w:style>
  <w:style w:type="paragraph" w:styleId="Heading5">
    <w:name w:val="heading 5"/>
    <w:basedOn w:val="Heading4"/>
    <w:link w:val="Heading5Char"/>
    <w:autoRedefine/>
    <w:uiPriority w:val="9"/>
    <w:unhideWhenUsed/>
    <w:qFormat/>
    <w:rsid w:val="00741352"/>
    <w:pPr>
      <w:numPr>
        <w:ilvl w:val="4"/>
      </w:numPr>
      <w:spacing w:before="120" w:after="120"/>
      <w:outlineLvl w:val="4"/>
    </w:pPr>
    <w:rPr>
      <w:noProof/>
    </w:rPr>
  </w:style>
  <w:style w:type="paragraph" w:styleId="Heading6">
    <w:name w:val="heading 6"/>
    <w:basedOn w:val="Heading5"/>
    <w:next w:val="Normaltextlevel"/>
    <w:link w:val="Heading6Char"/>
    <w:autoRedefine/>
    <w:uiPriority w:val="9"/>
    <w:unhideWhenUsed/>
    <w:qFormat/>
    <w:rsid w:val="00741352"/>
    <w:pPr>
      <w:numPr>
        <w:ilvl w:val="5"/>
        <w:numId w:val="31"/>
      </w:numPr>
      <w:outlineLvl w:val="5"/>
    </w:pPr>
  </w:style>
  <w:style w:type="paragraph" w:styleId="Heading7">
    <w:name w:val="heading 7"/>
    <w:basedOn w:val="Heading6"/>
    <w:next w:val="Normal"/>
    <w:link w:val="Heading7Char"/>
    <w:uiPriority w:val="9"/>
    <w:unhideWhenUsed/>
    <w:rsid w:val="00741352"/>
    <w:pPr>
      <w:numPr>
        <w:ilvl w:val="6"/>
        <w:numId w:val="30"/>
      </w:numPr>
      <w:outlineLvl w:val="6"/>
    </w:pPr>
    <w:rPr>
      <w:iCs w:val="0"/>
      <w:kern w:val="0"/>
      <w:szCs w:val="18"/>
    </w:rPr>
  </w:style>
  <w:style w:type="paragraph" w:styleId="Heading8">
    <w:name w:val="heading 8"/>
    <w:basedOn w:val="Heading7"/>
    <w:next w:val="Normaltextlevel"/>
    <w:link w:val="Heading8Char"/>
    <w:autoRedefine/>
    <w:uiPriority w:val="9"/>
    <w:unhideWhenUsed/>
    <w:rsid w:val="00741352"/>
    <w:pPr>
      <w:numPr>
        <w:ilvl w:val="7"/>
      </w:numPr>
      <w:outlineLvl w:val="7"/>
    </w:pPr>
  </w:style>
  <w:style w:type="paragraph" w:styleId="Heading9">
    <w:name w:val="heading 9"/>
    <w:basedOn w:val="Heading8"/>
    <w:next w:val="Normaltextlevel"/>
    <w:link w:val="Heading9Char"/>
    <w:autoRedefine/>
    <w:uiPriority w:val="9"/>
    <w:unhideWhenUsed/>
    <w:rsid w:val="0074135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741352"/>
    <w:rPr>
      <w:rFonts w:ascii="Tahoma" w:eastAsia="Times New Roman" w:hAnsi="Tahoma" w:cs="Tahoma"/>
      <w:b/>
      <w:spacing w:val="-3"/>
      <w:kern w:val="32"/>
      <w:sz w:val="24"/>
      <w:szCs w:val="32"/>
    </w:rPr>
  </w:style>
  <w:style w:type="paragraph" w:styleId="Title">
    <w:name w:val="Title"/>
    <w:basedOn w:val="Normal"/>
    <w:next w:val="Normal"/>
    <w:link w:val="TitleChar"/>
    <w:uiPriority w:val="2"/>
    <w:qFormat/>
    <w:rsid w:val="00741352"/>
    <w:pPr>
      <w:spacing w:before="120" w:after="480" w:line="240" w:lineRule="auto"/>
      <w:jc w:val="center"/>
    </w:pPr>
    <w:rPr>
      <w:rFonts w:cstheme="majorBidi"/>
      <w:bCs w:val="0"/>
      <w:caps/>
      <w:color w:val="1F497D"/>
      <w:spacing w:val="0"/>
      <w:sz w:val="36"/>
      <w:szCs w:val="24"/>
      <w:lang w:val="en-US"/>
    </w:rPr>
  </w:style>
  <w:style w:type="character" w:customStyle="1" w:styleId="TitleChar">
    <w:name w:val="Title Char"/>
    <w:basedOn w:val="DefaultParagraphFont"/>
    <w:link w:val="Title"/>
    <w:uiPriority w:val="2"/>
    <w:rsid w:val="00741352"/>
    <w:rPr>
      <w:rFonts w:ascii="Tahoma" w:hAnsi="Tahoma" w:cstheme="majorBidi"/>
      <w:caps/>
      <w:color w:val="1F497D"/>
      <w:sz w:val="36"/>
      <w:szCs w:val="24"/>
    </w:rPr>
  </w:style>
  <w:style w:type="paragraph" w:customStyle="1" w:styleId="SignatureName">
    <w:name w:val="Signature Name"/>
    <w:basedOn w:val="Normal"/>
    <w:next w:val="Signatureinfos"/>
    <w:uiPriority w:val="6"/>
    <w:qFormat/>
    <w:rsid w:val="00741352"/>
    <w:pPr>
      <w:spacing w:line="288" w:lineRule="auto"/>
      <w:ind w:left="5528"/>
    </w:pPr>
    <w:rPr>
      <w:rFonts w:eastAsia="Times New Roman"/>
      <w:b/>
      <w:color w:val="004678"/>
      <w:lang w:val="de-DE" w:eastAsia="fr-FR"/>
    </w:rPr>
  </w:style>
  <w:style w:type="paragraph" w:customStyle="1" w:styleId="Signatureinfos">
    <w:name w:val="Signature infos"/>
    <w:basedOn w:val="Normal"/>
    <w:uiPriority w:val="6"/>
    <w:qFormat/>
    <w:rsid w:val="00741352"/>
    <w:pPr>
      <w:spacing w:line="288" w:lineRule="auto"/>
      <w:ind w:left="5528"/>
    </w:pPr>
    <w:rPr>
      <w:rFonts w:eastAsia="Times New Roman"/>
      <w:lang w:val="de-DE" w:eastAsia="fr-FR"/>
    </w:rPr>
  </w:style>
  <w:style w:type="paragraph" w:customStyle="1" w:styleId="Subject">
    <w:name w:val="Subject"/>
    <w:basedOn w:val="Normal"/>
    <w:uiPriority w:val="2"/>
    <w:rsid w:val="00741352"/>
    <w:pPr>
      <w:tabs>
        <w:tab w:val="left" w:pos="992"/>
      </w:tabs>
    </w:pPr>
    <w:rPr>
      <w:b/>
    </w:rPr>
  </w:style>
  <w:style w:type="paragraph" w:customStyle="1" w:styleId="Normaltextlevel">
    <w:name w:val="Normal text level"/>
    <w:basedOn w:val="Normal"/>
    <w:qFormat/>
    <w:rsid w:val="00741352"/>
    <w:pPr>
      <w:ind w:left="567"/>
    </w:pPr>
    <w:rPr>
      <w:rFonts w:eastAsia="Times New Roman"/>
      <w:bCs w:val="0"/>
      <w:szCs w:val="20"/>
    </w:rPr>
  </w:style>
  <w:style w:type="paragraph" w:customStyle="1" w:styleId="Politephrase">
    <w:name w:val="Polite phrase"/>
    <w:basedOn w:val="Normaltextlevel"/>
    <w:next w:val="SignatureName"/>
    <w:uiPriority w:val="2"/>
    <w:rsid w:val="00741352"/>
    <w:pPr>
      <w:spacing w:before="360"/>
      <w:ind w:left="0"/>
    </w:pPr>
  </w:style>
  <w:style w:type="character" w:customStyle="1" w:styleId="Heading2Char">
    <w:name w:val="Heading 2 Char"/>
    <w:basedOn w:val="DefaultParagraphFont"/>
    <w:link w:val="Heading2"/>
    <w:uiPriority w:val="2"/>
    <w:rsid w:val="00741352"/>
    <w:rPr>
      <w:rFonts w:ascii="Tahoma" w:eastAsia="Times New Roman" w:hAnsi="Tahoma" w:cs="Tahoma"/>
      <w:b/>
      <w:spacing w:val="-3"/>
      <w:kern w:val="32"/>
      <w:sz w:val="20"/>
      <w:szCs w:val="20"/>
    </w:rPr>
  </w:style>
  <w:style w:type="character" w:customStyle="1" w:styleId="Heading3Char">
    <w:name w:val="Heading 3 Char"/>
    <w:link w:val="Heading3"/>
    <w:uiPriority w:val="2"/>
    <w:rsid w:val="00741352"/>
    <w:rPr>
      <w:rFonts w:ascii="Tahoma" w:hAnsi="Tahoma" w:cs="Tahoma"/>
      <w:bCs/>
      <w:spacing w:val="-3"/>
      <w:sz w:val="20"/>
      <w:szCs w:val="20"/>
      <w:lang w:val="en-GB"/>
    </w:rPr>
  </w:style>
  <w:style w:type="paragraph" w:styleId="TOCHeading">
    <w:name w:val="TOC Heading"/>
    <w:basedOn w:val="Heading1"/>
    <w:next w:val="Normal"/>
    <w:autoRedefine/>
    <w:uiPriority w:val="39"/>
    <w:unhideWhenUsed/>
    <w:rsid w:val="00741352"/>
    <w:pPr>
      <w:keepLines/>
      <w:numPr>
        <w:numId w:val="0"/>
      </w:numPr>
      <w:spacing w:before="120" w:line="259" w:lineRule="auto"/>
      <w:outlineLvl w:val="9"/>
    </w:pPr>
    <w:rPr>
      <w:rFonts w:cstheme="majorBidi"/>
      <w:b w:val="0"/>
      <w:bCs/>
      <w:color w:val="365F91" w:themeColor="accent1" w:themeShade="BF"/>
      <w:kern w:val="0"/>
      <w:sz w:val="28"/>
    </w:rPr>
  </w:style>
  <w:style w:type="paragraph" w:styleId="ListParagraph">
    <w:name w:val="List Paragraph"/>
    <w:basedOn w:val="Normal"/>
    <w:uiPriority w:val="34"/>
    <w:rsid w:val="00741352"/>
    <w:pPr>
      <w:ind w:left="720"/>
      <w:contextualSpacing/>
    </w:pPr>
  </w:style>
  <w:style w:type="character" w:styleId="EndnoteReference">
    <w:name w:val="endnote reference"/>
    <w:basedOn w:val="DefaultParagraphFont"/>
    <w:uiPriority w:val="99"/>
    <w:semiHidden/>
    <w:unhideWhenUsed/>
    <w:rsid w:val="00741352"/>
    <w:rPr>
      <w:vertAlign w:val="superscript"/>
    </w:rPr>
  </w:style>
  <w:style w:type="paragraph" w:styleId="EndnoteText">
    <w:name w:val="endnote text"/>
    <w:basedOn w:val="Normal"/>
    <w:link w:val="EndnoteTextChar"/>
    <w:uiPriority w:val="99"/>
    <w:semiHidden/>
    <w:unhideWhenUsed/>
    <w:rsid w:val="00741352"/>
    <w:rPr>
      <w:sz w:val="20"/>
      <w:szCs w:val="20"/>
    </w:rPr>
  </w:style>
  <w:style w:type="character" w:customStyle="1" w:styleId="EndnoteTextChar">
    <w:name w:val="Endnote Text Char"/>
    <w:basedOn w:val="DefaultParagraphFont"/>
    <w:link w:val="EndnoteText"/>
    <w:uiPriority w:val="99"/>
    <w:semiHidden/>
    <w:rsid w:val="00741352"/>
    <w:rPr>
      <w:rFonts w:ascii="Tahoma" w:hAnsi="Tahoma" w:cs="Tahoma"/>
      <w:bCs/>
      <w:spacing w:val="-3"/>
      <w:sz w:val="20"/>
      <w:szCs w:val="20"/>
      <w:lang w:val="en-GB"/>
    </w:rPr>
  </w:style>
  <w:style w:type="paragraph" w:styleId="Footer">
    <w:name w:val="footer"/>
    <w:basedOn w:val="Normal"/>
    <w:link w:val="FooterChar"/>
    <w:uiPriority w:val="99"/>
    <w:unhideWhenUsed/>
    <w:rsid w:val="00741352"/>
    <w:pPr>
      <w:tabs>
        <w:tab w:val="center" w:pos="4703"/>
        <w:tab w:val="right" w:pos="9406"/>
      </w:tabs>
    </w:pPr>
    <w:rPr>
      <w:sz w:val="16"/>
    </w:rPr>
  </w:style>
  <w:style w:type="character" w:customStyle="1" w:styleId="FooterChar">
    <w:name w:val="Footer Char"/>
    <w:basedOn w:val="DefaultParagraphFont"/>
    <w:link w:val="Footer"/>
    <w:uiPriority w:val="99"/>
    <w:rsid w:val="00741352"/>
    <w:rPr>
      <w:rFonts w:ascii="Tahoma" w:hAnsi="Tahoma" w:cs="Tahoma"/>
      <w:bCs/>
      <w:spacing w:val="-3"/>
      <w:sz w:val="16"/>
      <w:szCs w:val="18"/>
      <w:lang w:val="en-GB"/>
    </w:rPr>
  </w:style>
  <w:style w:type="paragraph" w:styleId="FootnoteText">
    <w:name w:val="footnote text"/>
    <w:basedOn w:val="Normal"/>
    <w:link w:val="FootnoteTextChar"/>
    <w:uiPriority w:val="99"/>
    <w:semiHidden/>
    <w:unhideWhenUsed/>
    <w:rsid w:val="00741352"/>
    <w:rPr>
      <w:sz w:val="16"/>
      <w:szCs w:val="20"/>
    </w:rPr>
  </w:style>
  <w:style w:type="character" w:customStyle="1" w:styleId="FootnoteTextChar">
    <w:name w:val="Footnote Text Char"/>
    <w:basedOn w:val="DefaultParagraphFont"/>
    <w:link w:val="FootnoteText"/>
    <w:uiPriority w:val="99"/>
    <w:semiHidden/>
    <w:rsid w:val="00741352"/>
    <w:rPr>
      <w:rFonts w:ascii="Tahoma" w:hAnsi="Tahoma" w:cs="Tahoma"/>
      <w:bCs/>
      <w:spacing w:val="-3"/>
      <w:sz w:val="16"/>
      <w:szCs w:val="20"/>
      <w:lang w:val="en-GB"/>
    </w:rPr>
  </w:style>
  <w:style w:type="character" w:styleId="FootnoteReference">
    <w:name w:val="footnote reference"/>
    <w:basedOn w:val="DefaultParagraphFont"/>
    <w:uiPriority w:val="99"/>
    <w:semiHidden/>
    <w:unhideWhenUsed/>
    <w:rsid w:val="00741352"/>
    <w:rPr>
      <w:vertAlign w:val="superscript"/>
    </w:rPr>
  </w:style>
  <w:style w:type="character" w:styleId="Strong">
    <w:name w:val="Strong"/>
    <w:basedOn w:val="DefaultParagraphFont"/>
    <w:uiPriority w:val="22"/>
    <w:qFormat/>
    <w:rsid w:val="00741352"/>
    <w:rPr>
      <w:b/>
      <w:bCs/>
    </w:rPr>
  </w:style>
  <w:style w:type="paragraph" w:styleId="Quote">
    <w:name w:val="Quote"/>
    <w:basedOn w:val="Normal"/>
    <w:next w:val="Normal"/>
    <w:link w:val="QuoteChar"/>
    <w:uiPriority w:val="29"/>
    <w:qFormat/>
    <w:rsid w:val="00741352"/>
    <w:pPr>
      <w:spacing w:before="200"/>
      <w:ind w:left="864" w:right="864"/>
      <w:jc w:val="center"/>
    </w:pPr>
    <w:rPr>
      <w:bCs w:val="0"/>
      <w:i/>
      <w:iCs/>
      <w:color w:val="404040" w:themeColor="text1" w:themeTint="BF"/>
      <w:spacing w:val="0"/>
      <w:lang w:val="en-US"/>
    </w:rPr>
  </w:style>
  <w:style w:type="character" w:customStyle="1" w:styleId="QuoteChar">
    <w:name w:val="Quote Char"/>
    <w:basedOn w:val="DefaultParagraphFont"/>
    <w:link w:val="Quote"/>
    <w:uiPriority w:val="29"/>
    <w:rsid w:val="00741352"/>
    <w:rPr>
      <w:rFonts w:ascii="Tahoma" w:hAnsi="Tahoma" w:cs="Tahoma"/>
      <w:i/>
      <w:iCs/>
      <w:color w:val="404040" w:themeColor="text1" w:themeTint="BF"/>
      <w:sz w:val="18"/>
      <w:szCs w:val="18"/>
    </w:rPr>
  </w:style>
  <w:style w:type="paragraph" w:styleId="IntenseQuote">
    <w:name w:val="Intense Quote"/>
    <w:basedOn w:val="Normal"/>
    <w:next w:val="Normal"/>
    <w:link w:val="IntenseQuoteChar"/>
    <w:uiPriority w:val="30"/>
    <w:qFormat/>
    <w:rsid w:val="00741352"/>
    <w:pPr>
      <w:pBdr>
        <w:top w:val="single" w:sz="4" w:space="10" w:color="4F81BD" w:themeColor="accent1"/>
        <w:bottom w:val="single" w:sz="4" w:space="10" w:color="4F81BD" w:themeColor="accent1"/>
      </w:pBdr>
      <w:spacing w:before="360" w:after="360"/>
      <w:ind w:left="864" w:right="864"/>
      <w:jc w:val="center"/>
    </w:pPr>
    <w:rPr>
      <w:bCs w:val="0"/>
      <w:i/>
      <w:iCs/>
      <w:color w:val="4F81BD" w:themeColor="accent1"/>
      <w:spacing w:val="0"/>
      <w:lang w:val="en-US"/>
    </w:rPr>
  </w:style>
  <w:style w:type="character" w:customStyle="1" w:styleId="IntenseQuoteChar">
    <w:name w:val="Intense Quote Char"/>
    <w:basedOn w:val="DefaultParagraphFont"/>
    <w:link w:val="IntenseQuote"/>
    <w:uiPriority w:val="30"/>
    <w:rsid w:val="00741352"/>
    <w:rPr>
      <w:rFonts w:ascii="Tahoma" w:hAnsi="Tahoma" w:cs="Tahoma"/>
      <w:i/>
      <w:iCs/>
      <w:color w:val="4F81BD" w:themeColor="accent1"/>
      <w:sz w:val="18"/>
      <w:szCs w:val="18"/>
    </w:rPr>
  </w:style>
  <w:style w:type="character" w:styleId="SubtleReference">
    <w:name w:val="Subtle Reference"/>
    <w:uiPriority w:val="31"/>
    <w:rsid w:val="00741352"/>
    <w:rPr>
      <w:smallCaps/>
    </w:rPr>
  </w:style>
  <w:style w:type="character" w:styleId="IntenseReference">
    <w:name w:val="Intense Reference"/>
    <w:basedOn w:val="DefaultParagraphFont"/>
    <w:uiPriority w:val="32"/>
    <w:rsid w:val="00741352"/>
    <w:rPr>
      <w:b/>
      <w:bCs/>
      <w:smallCaps/>
      <w:color w:val="4F81BD" w:themeColor="accent1"/>
      <w:spacing w:val="5"/>
    </w:rPr>
  </w:style>
  <w:style w:type="paragraph" w:styleId="Subtitle">
    <w:name w:val="Subtitle"/>
    <w:basedOn w:val="Title"/>
    <w:next w:val="Normal"/>
    <w:link w:val="SubtitleChar"/>
    <w:uiPriority w:val="2"/>
    <w:qFormat/>
    <w:rsid w:val="00741352"/>
    <w:rPr>
      <w:caps w:val="0"/>
      <w:sz w:val="28"/>
      <w:szCs w:val="28"/>
      <w:lang w:val="fr-FR"/>
    </w:rPr>
  </w:style>
  <w:style w:type="character" w:customStyle="1" w:styleId="SubtitleChar">
    <w:name w:val="Subtitle Char"/>
    <w:basedOn w:val="DefaultParagraphFont"/>
    <w:link w:val="Subtitle"/>
    <w:uiPriority w:val="2"/>
    <w:rsid w:val="00741352"/>
    <w:rPr>
      <w:rFonts w:ascii="Tahoma" w:hAnsi="Tahoma" w:cstheme="majorBidi"/>
      <w:color w:val="1F497D"/>
      <w:sz w:val="28"/>
      <w:szCs w:val="28"/>
      <w:lang w:val="fr-FR"/>
    </w:rPr>
  </w:style>
  <w:style w:type="table" w:customStyle="1" w:styleId="ListTable2-Accent61">
    <w:name w:val="List Table 2 - Accent 61"/>
    <w:basedOn w:val="TableNormal"/>
    <w:uiPriority w:val="47"/>
    <w:rsid w:val="00741352"/>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AgendaPoints">
    <w:name w:val="AgendaPoints"/>
    <w:basedOn w:val="Normal"/>
    <w:link w:val="AgendaPointsChar"/>
    <w:uiPriority w:val="3"/>
    <w:rsid w:val="00741352"/>
  </w:style>
  <w:style w:type="character" w:customStyle="1" w:styleId="AgendaPointsChar">
    <w:name w:val="AgendaPoints Char"/>
    <w:basedOn w:val="DefaultParagraphFont"/>
    <w:link w:val="AgendaPoints"/>
    <w:uiPriority w:val="3"/>
    <w:rsid w:val="00741352"/>
    <w:rPr>
      <w:rFonts w:ascii="Tahoma" w:hAnsi="Tahoma" w:cs="Tahoma"/>
      <w:bCs/>
      <w:spacing w:val="-3"/>
      <w:sz w:val="18"/>
      <w:szCs w:val="18"/>
      <w:lang w:val="en-GB"/>
    </w:rPr>
  </w:style>
  <w:style w:type="character" w:customStyle="1" w:styleId="Heading4Char">
    <w:name w:val="Heading 4 Char"/>
    <w:basedOn w:val="DefaultParagraphFont"/>
    <w:link w:val="Heading4"/>
    <w:uiPriority w:val="9"/>
    <w:rsid w:val="00741352"/>
    <w:rPr>
      <w:rFonts w:ascii="Tahoma" w:hAnsi="Tahoma" w:cs="Tahoma"/>
      <w:bCs/>
      <w:iCs/>
      <w:spacing w:val="-3"/>
      <w:kern w:val="32"/>
      <w:sz w:val="18"/>
      <w:szCs w:val="20"/>
      <w:lang w:val="fr-FR"/>
    </w:rPr>
  </w:style>
  <w:style w:type="paragraph" w:styleId="NormalIndent">
    <w:name w:val="Normal Indent"/>
    <w:aliases w:val="Text Indent"/>
    <w:basedOn w:val="Normal"/>
    <w:link w:val="NormalIndentChar"/>
    <w:rsid w:val="00741352"/>
    <w:pPr>
      <w:ind w:left="567"/>
    </w:pPr>
  </w:style>
  <w:style w:type="paragraph" w:styleId="NoSpacing">
    <w:name w:val="No Spacing"/>
    <w:basedOn w:val="Normal"/>
    <w:uiPriority w:val="1"/>
    <w:rsid w:val="00741352"/>
    <w:pPr>
      <w:spacing w:after="0" w:line="240" w:lineRule="auto"/>
    </w:pPr>
  </w:style>
  <w:style w:type="table" w:customStyle="1" w:styleId="TableGridLight1">
    <w:name w:val="Table Grid Light1"/>
    <w:basedOn w:val="TableNormal"/>
    <w:uiPriority w:val="40"/>
    <w:rsid w:val="007413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MediumShading1-Accent3">
    <w:name w:val="Medium Shading 1 Accent 3"/>
    <w:aliases w:val="CPVO Template Table"/>
    <w:basedOn w:val="TableNormal"/>
    <w:rsid w:val="00741352"/>
    <w:pPr>
      <w:spacing w:after="0" w:line="240" w:lineRule="auto"/>
    </w:pPr>
    <w:rPr>
      <w:rFonts w:ascii="Tahoma" w:hAnsi="Tahoma"/>
      <w:sz w:val="18"/>
      <w:lang w:val="fr-FR" w:eastAsia="fr-FR"/>
    </w:rPr>
    <w:tblPr>
      <w:tblStyleRow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FFFFF" w:themeFill="background1"/>
    </w:tcPr>
    <w:tblStylePr w:type="firstRow">
      <w:pPr>
        <w:spacing w:beforeLines="0" w:before="0" w:beforeAutospacing="0" w:afterLines="0" w:after="0" w:afterAutospacing="0" w:line="240" w:lineRule="auto"/>
      </w:pPr>
      <w:rPr>
        <w:rFonts w:ascii="Tahoma" w:hAnsi="Tahoma" w:cs="Tahoma" w:hint="default"/>
        <w:b/>
        <w:bCs/>
        <w:color w:val="FFFFFF" w:themeColor="background1"/>
        <w:sz w:val="18"/>
        <w:szCs w:val="18"/>
      </w:rPr>
      <w:tblPr/>
      <w:tcPr>
        <w:shd w:val="clear" w:color="auto" w:fill="A1BC30"/>
      </w:tcPr>
    </w:tblStylePr>
    <w:tblStylePr w:type="lastRow">
      <w:pPr>
        <w:spacing w:beforeLines="0" w:before="0" w:beforeAutospacing="0" w:afterLines="0" w:after="0" w:afterAutospacing="0" w:line="240" w:lineRule="auto"/>
      </w:pPr>
      <w:rPr>
        <w:rFonts w:ascii="Tahoma" w:hAnsi="Tahoma" w:cs="Tahoma" w:hint="default"/>
        <w:b/>
        <w:bCs/>
        <w:sz w:val="18"/>
        <w:szCs w:val="18"/>
      </w:rPr>
      <w:tblPr/>
      <w:tcPr>
        <w:tcBorders>
          <w:top w:val="nil"/>
          <w:left w:val="nil"/>
          <w:bottom w:val="nil"/>
          <w:right w:val="nil"/>
          <w:insideH w:val="nil"/>
          <w:insideV w:val="nil"/>
          <w:tl2br w:val="nil"/>
          <w:tr2bl w:val="nil"/>
        </w:tcBorders>
        <w:shd w:val="clear" w:color="auto" w:fill="F6F4F0"/>
      </w:tcPr>
    </w:tblStylePr>
    <w:tblStylePr w:type="firstCol">
      <w:rPr>
        <w:rFonts w:ascii="Tahoma" w:hAnsi="Tahoma" w:cs="Tahoma" w:hint="default"/>
        <w:b w:val="0"/>
        <w:bCs/>
        <w:sz w:val="18"/>
        <w:szCs w:val="18"/>
      </w:rPr>
    </w:tblStylePr>
    <w:tblStylePr w:type="lastCol">
      <w:rPr>
        <w:b/>
        <w:bCs/>
      </w:rPr>
    </w:tblStylePr>
    <w:tblStylePr w:type="band1Horz">
      <w:tblPr/>
      <w:tcPr>
        <w:shd w:val="clear" w:color="auto" w:fill="F6F4F0"/>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741352"/>
    <w:pPr>
      <w:tabs>
        <w:tab w:val="center" w:pos="4703"/>
        <w:tab w:val="right" w:pos="9406"/>
      </w:tabs>
      <w:spacing w:after="0" w:line="240" w:lineRule="auto"/>
    </w:pPr>
  </w:style>
  <w:style w:type="character" w:customStyle="1" w:styleId="HeaderChar">
    <w:name w:val="Header Char"/>
    <w:basedOn w:val="DefaultParagraphFont"/>
    <w:link w:val="Header"/>
    <w:uiPriority w:val="99"/>
    <w:rsid w:val="00741352"/>
    <w:rPr>
      <w:rFonts w:ascii="Tahoma" w:hAnsi="Tahoma" w:cs="Tahoma"/>
      <w:bCs/>
      <w:spacing w:val="-3"/>
      <w:sz w:val="18"/>
      <w:szCs w:val="18"/>
      <w:lang w:val="en-GB"/>
    </w:rPr>
  </w:style>
  <w:style w:type="character" w:styleId="PageNumber">
    <w:name w:val="page number"/>
    <w:rsid w:val="00741352"/>
    <w:rPr>
      <w:sz w:val="15"/>
    </w:rPr>
  </w:style>
  <w:style w:type="character" w:customStyle="1" w:styleId="Heading5Char">
    <w:name w:val="Heading 5 Char"/>
    <w:basedOn w:val="DefaultParagraphFont"/>
    <w:link w:val="Heading5"/>
    <w:uiPriority w:val="9"/>
    <w:rsid w:val="00741352"/>
    <w:rPr>
      <w:rFonts w:ascii="Tahoma" w:hAnsi="Tahoma" w:cs="Tahoma"/>
      <w:bCs/>
      <w:iCs/>
      <w:noProof/>
      <w:spacing w:val="-3"/>
      <w:kern w:val="32"/>
      <w:sz w:val="18"/>
      <w:szCs w:val="20"/>
      <w:lang w:val="fr-FR"/>
    </w:rPr>
  </w:style>
  <w:style w:type="character" w:customStyle="1" w:styleId="Heading6Char">
    <w:name w:val="Heading 6 Char"/>
    <w:basedOn w:val="DefaultParagraphFont"/>
    <w:link w:val="Heading6"/>
    <w:uiPriority w:val="9"/>
    <w:rsid w:val="00741352"/>
    <w:rPr>
      <w:rFonts w:ascii="Tahoma" w:hAnsi="Tahoma" w:cs="Tahoma"/>
      <w:bCs/>
      <w:iCs/>
      <w:noProof/>
      <w:spacing w:val="-3"/>
      <w:kern w:val="32"/>
      <w:sz w:val="18"/>
      <w:szCs w:val="20"/>
      <w:lang w:val="fr-FR"/>
    </w:rPr>
  </w:style>
  <w:style w:type="character" w:customStyle="1" w:styleId="Heading7Char">
    <w:name w:val="Heading 7 Char"/>
    <w:basedOn w:val="DefaultParagraphFont"/>
    <w:link w:val="Heading7"/>
    <w:uiPriority w:val="9"/>
    <w:rsid w:val="00741352"/>
    <w:rPr>
      <w:rFonts w:ascii="Tahoma" w:hAnsi="Tahoma" w:cs="Tahoma"/>
      <w:bCs/>
      <w:noProof/>
      <w:spacing w:val="-3"/>
      <w:sz w:val="18"/>
      <w:szCs w:val="18"/>
      <w:lang w:val="fr-FR"/>
    </w:rPr>
  </w:style>
  <w:style w:type="character" w:customStyle="1" w:styleId="Heading8Char">
    <w:name w:val="Heading 8 Char"/>
    <w:basedOn w:val="DefaultParagraphFont"/>
    <w:link w:val="Heading8"/>
    <w:uiPriority w:val="9"/>
    <w:rsid w:val="00741352"/>
    <w:rPr>
      <w:rFonts w:ascii="Tahoma" w:hAnsi="Tahoma" w:cs="Tahoma"/>
      <w:bCs/>
      <w:noProof/>
      <w:spacing w:val="-3"/>
      <w:sz w:val="18"/>
      <w:szCs w:val="18"/>
      <w:lang w:val="fr-FR"/>
    </w:rPr>
  </w:style>
  <w:style w:type="character" w:customStyle="1" w:styleId="Heading9Char">
    <w:name w:val="Heading 9 Char"/>
    <w:basedOn w:val="DefaultParagraphFont"/>
    <w:link w:val="Heading9"/>
    <w:uiPriority w:val="9"/>
    <w:rsid w:val="00741352"/>
    <w:rPr>
      <w:rFonts w:ascii="Tahoma" w:hAnsi="Tahoma" w:cs="Tahoma"/>
      <w:bCs/>
      <w:noProof/>
      <w:spacing w:val="-3"/>
      <w:sz w:val="18"/>
      <w:szCs w:val="18"/>
      <w:lang w:val="fr-FR"/>
    </w:rPr>
  </w:style>
  <w:style w:type="character" w:styleId="Emphasis">
    <w:name w:val="Emphasis"/>
    <w:basedOn w:val="NormalIndentChar"/>
    <w:uiPriority w:val="20"/>
    <w:qFormat/>
    <w:rsid w:val="00741352"/>
    <w:rPr>
      <w:rFonts w:ascii="Tahoma" w:eastAsia="Cambria" w:hAnsi="Tahoma" w:cs="Tahoma"/>
      <w:bCs/>
      <w:i/>
      <w:iCs/>
      <w:spacing w:val="-3"/>
      <w:sz w:val="18"/>
      <w:szCs w:val="18"/>
      <w:lang w:val="en-GB"/>
    </w:rPr>
  </w:style>
  <w:style w:type="character" w:styleId="SubtleEmphasis">
    <w:name w:val="Subtle Emphasis"/>
    <w:uiPriority w:val="19"/>
    <w:rsid w:val="00741352"/>
    <w:rPr>
      <w:i/>
      <w:iCs/>
      <w:color w:val="808080" w:themeColor="text1" w:themeTint="7F"/>
    </w:rPr>
  </w:style>
  <w:style w:type="character" w:styleId="IntenseEmphasis">
    <w:name w:val="Intense Emphasis"/>
    <w:uiPriority w:val="21"/>
    <w:rsid w:val="00741352"/>
    <w:rPr>
      <w:b/>
      <w:bCs/>
      <w:i/>
      <w:iCs/>
      <w:color w:val="4F81BD" w:themeColor="accent1"/>
    </w:rPr>
  </w:style>
  <w:style w:type="character" w:styleId="BookTitle">
    <w:name w:val="Book Title"/>
    <w:uiPriority w:val="33"/>
    <w:rsid w:val="00741352"/>
    <w:rPr>
      <w:b/>
      <w:bCs/>
      <w:smallCaps/>
      <w:spacing w:val="5"/>
    </w:rPr>
  </w:style>
  <w:style w:type="paragraph" w:customStyle="1" w:styleId="CPVOabclist">
    <w:name w:val="CPVO abc list"/>
    <w:basedOn w:val="ListBullet"/>
    <w:link w:val="CPVOabclistChar"/>
    <w:uiPriority w:val="3"/>
    <w:rsid w:val="00741352"/>
    <w:pPr>
      <w:numPr>
        <w:numId w:val="0"/>
      </w:numPr>
      <w:spacing w:after="120"/>
      <w:ind w:left="993" w:hanging="426"/>
    </w:pPr>
    <w:rPr>
      <w:rFonts w:eastAsiaTheme="minorHAnsi"/>
      <w:lang w:val="en-US"/>
    </w:rPr>
  </w:style>
  <w:style w:type="character" w:customStyle="1" w:styleId="CPVOabclistChar">
    <w:name w:val="CPVO abc list Char"/>
    <w:link w:val="CPVOabclist"/>
    <w:uiPriority w:val="3"/>
    <w:rsid w:val="00741352"/>
    <w:rPr>
      <w:rFonts w:ascii="Tahoma" w:eastAsiaTheme="minorHAnsi" w:hAnsi="Tahoma" w:cs="Tahoma"/>
      <w:bCs/>
      <w:spacing w:val="-3"/>
      <w:sz w:val="18"/>
      <w:szCs w:val="18"/>
    </w:rPr>
  </w:style>
  <w:style w:type="paragraph" w:styleId="ListBullet">
    <w:name w:val="List Bullet"/>
    <w:basedOn w:val="Normal"/>
    <w:uiPriority w:val="99"/>
    <w:semiHidden/>
    <w:unhideWhenUsed/>
    <w:rsid w:val="00741352"/>
    <w:pPr>
      <w:numPr>
        <w:numId w:val="21"/>
      </w:numPr>
      <w:contextualSpacing/>
    </w:pPr>
  </w:style>
  <w:style w:type="numbering" w:customStyle="1" w:styleId="CPVOHeadings">
    <w:name w:val="CPVO Headings"/>
    <w:uiPriority w:val="99"/>
    <w:rsid w:val="00741352"/>
    <w:pPr>
      <w:numPr>
        <w:numId w:val="2"/>
      </w:numPr>
    </w:pPr>
  </w:style>
  <w:style w:type="numbering" w:customStyle="1" w:styleId="CPVOCorporateHeadings">
    <w:name w:val="CPVO Corporate Headings"/>
    <w:uiPriority w:val="99"/>
    <w:rsid w:val="00741352"/>
    <w:pPr>
      <w:numPr>
        <w:numId w:val="3"/>
      </w:numPr>
    </w:pPr>
  </w:style>
  <w:style w:type="paragraph" w:styleId="TOC1">
    <w:name w:val="toc 1"/>
    <w:basedOn w:val="Normal"/>
    <w:next w:val="Normal"/>
    <w:autoRedefine/>
    <w:uiPriority w:val="39"/>
    <w:unhideWhenUsed/>
    <w:rsid w:val="00741352"/>
    <w:pPr>
      <w:spacing w:after="240"/>
    </w:pPr>
    <w:rPr>
      <w:b/>
    </w:rPr>
  </w:style>
  <w:style w:type="paragraph" w:styleId="TOC2">
    <w:name w:val="toc 2"/>
    <w:basedOn w:val="Normal"/>
    <w:next w:val="Normal"/>
    <w:autoRedefine/>
    <w:uiPriority w:val="39"/>
    <w:unhideWhenUsed/>
    <w:rsid w:val="00741352"/>
    <w:pPr>
      <w:spacing w:after="100"/>
      <w:ind w:left="180"/>
    </w:pPr>
  </w:style>
  <w:style w:type="paragraph" w:styleId="TOC3">
    <w:name w:val="toc 3"/>
    <w:basedOn w:val="Normal"/>
    <w:next w:val="Normal"/>
    <w:autoRedefine/>
    <w:uiPriority w:val="39"/>
    <w:unhideWhenUsed/>
    <w:rsid w:val="00741352"/>
    <w:pPr>
      <w:spacing w:after="100"/>
      <w:ind w:left="360"/>
    </w:pPr>
  </w:style>
  <w:style w:type="character" w:styleId="Hyperlink">
    <w:name w:val="Hyperlink"/>
    <w:basedOn w:val="DefaultParagraphFont"/>
    <w:uiPriority w:val="99"/>
    <w:unhideWhenUsed/>
    <w:rsid w:val="00741352"/>
    <w:rPr>
      <w:color w:val="0000FF" w:themeColor="hyperlink"/>
      <w:u w:val="single"/>
    </w:rPr>
  </w:style>
  <w:style w:type="paragraph" w:customStyle="1" w:styleId="LegalRecitalsNumbering">
    <w:name w:val="Legal Recitals Numbering"/>
    <w:basedOn w:val="Normal"/>
    <w:autoRedefine/>
    <w:uiPriority w:val="2"/>
    <w:qFormat/>
    <w:rsid w:val="00741352"/>
    <w:pPr>
      <w:numPr>
        <w:numId w:val="31"/>
      </w:numPr>
    </w:pPr>
  </w:style>
  <w:style w:type="paragraph" w:customStyle="1" w:styleId="Figures">
    <w:name w:val="Figures"/>
    <w:basedOn w:val="Caption"/>
    <w:link w:val="FiguresChar"/>
    <w:autoRedefine/>
    <w:uiPriority w:val="3"/>
    <w:rsid w:val="00741352"/>
    <w:pPr>
      <w:spacing w:after="160" w:line="259" w:lineRule="auto"/>
    </w:pPr>
    <w:rPr>
      <w:iCs w:val="0"/>
      <w:sz w:val="16"/>
      <w:szCs w:val="16"/>
      <w:lang w:val="en-US"/>
    </w:rPr>
  </w:style>
  <w:style w:type="character" w:customStyle="1" w:styleId="FiguresChar">
    <w:name w:val="Figures Char"/>
    <w:basedOn w:val="DefaultParagraphFont"/>
    <w:link w:val="Figures"/>
    <w:uiPriority w:val="3"/>
    <w:rsid w:val="00741352"/>
    <w:rPr>
      <w:rFonts w:ascii="Tahoma" w:hAnsi="Tahoma" w:cs="Tahoma"/>
      <w:bCs/>
      <w:i/>
      <w:spacing w:val="-3"/>
      <w:sz w:val="16"/>
      <w:szCs w:val="16"/>
    </w:rPr>
  </w:style>
  <w:style w:type="paragraph" w:styleId="Caption">
    <w:name w:val="caption"/>
    <w:basedOn w:val="Normal"/>
    <w:next w:val="Normal"/>
    <w:autoRedefine/>
    <w:uiPriority w:val="35"/>
    <w:unhideWhenUsed/>
    <w:rsid w:val="00741352"/>
    <w:pPr>
      <w:keepNext/>
      <w:spacing w:after="200" w:line="240" w:lineRule="auto"/>
      <w:ind w:left="567"/>
    </w:pPr>
    <w:rPr>
      <w:i/>
      <w:iCs/>
    </w:rPr>
  </w:style>
  <w:style w:type="table" w:styleId="LightGrid-Accent1">
    <w:name w:val="Light Grid Accent 1"/>
    <w:aliases w:val="CPVO-SPD Table"/>
    <w:basedOn w:val="TableNormal"/>
    <w:rsid w:val="00741352"/>
    <w:pPr>
      <w:spacing w:after="120" w:line="240" w:lineRule="auto"/>
    </w:pPr>
    <w:rPr>
      <w:rFonts w:ascii="Tahoma" w:hAnsi="Tahoma" w:cs="Times New Roman"/>
      <w:sz w:val="18"/>
      <w:szCs w:val="20"/>
      <w:lang w:val="en-GB" w:eastAsia="en-GB"/>
    </w:rPr>
    <w:tblPr>
      <w:tblStyleRowBandSize w:val="1"/>
      <w:tblStyleColBandSize w:val="1"/>
      <w:tblInd w:w="56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sz w:val="18"/>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sz w:val="18"/>
      </w:rPr>
    </w:tblStylePr>
    <w:tblStylePr w:type="lastCol">
      <w:rPr>
        <w:rFonts w:ascii="Tahoma" w:eastAsia="Times New Roman" w:hAnsi="Tahoma" w:cs="Times New Roman"/>
        <w:b/>
        <w:bCs/>
        <w:sz w:val="18"/>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Tahoma" w:hAnsi="Tahoma"/>
        <w:sz w:val="18"/>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NoSpace">
    <w:name w:val="No Space"/>
    <w:basedOn w:val="NormalIndent"/>
    <w:link w:val="NoSpaceChar"/>
    <w:uiPriority w:val="1"/>
    <w:qFormat/>
    <w:rsid w:val="00741352"/>
    <w:pPr>
      <w:spacing w:after="0" w:line="240" w:lineRule="auto"/>
    </w:pPr>
    <w:rPr>
      <w:lang w:val="fr-FR"/>
    </w:rPr>
  </w:style>
  <w:style w:type="character" w:customStyle="1" w:styleId="NoSpaceChar">
    <w:name w:val="No Space Char"/>
    <w:basedOn w:val="NormalIndentChar"/>
    <w:link w:val="NoSpace"/>
    <w:uiPriority w:val="1"/>
    <w:rsid w:val="00741352"/>
    <w:rPr>
      <w:rFonts w:ascii="Tahoma" w:hAnsi="Tahoma" w:cs="Tahoma"/>
      <w:bCs/>
      <w:spacing w:val="-3"/>
      <w:sz w:val="18"/>
      <w:szCs w:val="18"/>
      <w:lang w:val="fr-FR"/>
    </w:rPr>
  </w:style>
  <w:style w:type="character" w:customStyle="1" w:styleId="NormalIndentChar">
    <w:name w:val="Normal Indent Char"/>
    <w:aliases w:val="Text Indent Char"/>
    <w:basedOn w:val="DefaultParagraphFont"/>
    <w:link w:val="NormalIndent"/>
    <w:rsid w:val="00741352"/>
    <w:rPr>
      <w:rFonts w:ascii="Tahoma" w:hAnsi="Tahoma" w:cs="Tahoma"/>
      <w:bCs/>
      <w:spacing w:val="-3"/>
      <w:sz w:val="18"/>
      <w:szCs w:val="18"/>
      <w:lang w:val="en-GB"/>
    </w:rPr>
  </w:style>
  <w:style w:type="paragraph" w:styleId="TableofFigures">
    <w:name w:val="table of figures"/>
    <w:basedOn w:val="Normal"/>
    <w:next w:val="Normal"/>
    <w:uiPriority w:val="99"/>
    <w:unhideWhenUsed/>
    <w:rsid w:val="00741352"/>
    <w:pPr>
      <w:spacing w:after="0"/>
      <w:ind w:left="567"/>
    </w:pPr>
  </w:style>
  <w:style w:type="paragraph" w:customStyle="1" w:styleId="CPVOBulletPoints">
    <w:name w:val="CPVO Bullet Points"/>
    <w:basedOn w:val="NormalIndent"/>
    <w:link w:val="CPVOBulletPointsChar"/>
    <w:uiPriority w:val="3"/>
    <w:rsid w:val="00741352"/>
    <w:pPr>
      <w:ind w:left="993" w:hanging="360"/>
    </w:pPr>
    <w:rPr>
      <w:lang w:val="fr-FR"/>
    </w:rPr>
  </w:style>
  <w:style w:type="character" w:customStyle="1" w:styleId="CPVOBulletPointsChar">
    <w:name w:val="CPVO Bullet Points Char"/>
    <w:basedOn w:val="DefaultParagraphFont"/>
    <w:link w:val="CPVOBulletPoints"/>
    <w:uiPriority w:val="3"/>
    <w:rsid w:val="00741352"/>
    <w:rPr>
      <w:rFonts w:ascii="Tahoma" w:hAnsi="Tahoma" w:cs="Tahoma"/>
      <w:bCs/>
      <w:spacing w:val="-3"/>
      <w:sz w:val="18"/>
      <w:szCs w:val="18"/>
      <w:lang w:val="fr-FR"/>
    </w:rPr>
  </w:style>
  <w:style w:type="paragraph" w:customStyle="1" w:styleId="Annex">
    <w:name w:val="Annex"/>
    <w:basedOn w:val="Heading1"/>
    <w:next w:val="NormalIndent"/>
    <w:link w:val="AnnexChar"/>
    <w:uiPriority w:val="3"/>
    <w:qFormat/>
    <w:rsid w:val="00741352"/>
    <w:pPr>
      <w:keepNext w:val="0"/>
      <w:numPr>
        <w:numId w:val="0"/>
      </w:numPr>
      <w:jc w:val="both"/>
    </w:pPr>
    <w:rPr>
      <w:rFonts w:eastAsiaTheme="majorEastAsia"/>
      <w:bCs/>
      <w:lang w:val="fr-FR"/>
    </w:rPr>
  </w:style>
  <w:style w:type="character" w:customStyle="1" w:styleId="AnnexChar">
    <w:name w:val="Annex Char"/>
    <w:basedOn w:val="Heading1Char"/>
    <w:link w:val="Annex"/>
    <w:uiPriority w:val="3"/>
    <w:rsid w:val="00741352"/>
    <w:rPr>
      <w:rFonts w:ascii="Tahoma" w:eastAsiaTheme="majorEastAsia" w:hAnsi="Tahoma" w:cs="Tahoma"/>
      <w:b/>
      <w:bCs/>
      <w:spacing w:val="-3"/>
      <w:kern w:val="32"/>
      <w:sz w:val="24"/>
      <w:szCs w:val="32"/>
      <w:lang w:val="fr-FR"/>
    </w:rPr>
  </w:style>
  <w:style w:type="paragraph" w:customStyle="1" w:styleId="AnnexNumber">
    <w:name w:val="Annex Number"/>
    <w:basedOn w:val="Heading2"/>
    <w:link w:val="AnnexNumberChar"/>
    <w:uiPriority w:val="3"/>
    <w:qFormat/>
    <w:rsid w:val="00741352"/>
    <w:pPr>
      <w:numPr>
        <w:ilvl w:val="0"/>
        <w:numId w:val="20"/>
      </w:numPr>
    </w:pPr>
  </w:style>
  <w:style w:type="character" w:customStyle="1" w:styleId="AnnexNumberChar">
    <w:name w:val="Annex Number Char"/>
    <w:basedOn w:val="Heading2Char"/>
    <w:link w:val="AnnexNumber"/>
    <w:uiPriority w:val="3"/>
    <w:rsid w:val="00741352"/>
    <w:rPr>
      <w:rFonts w:ascii="Tahoma" w:eastAsia="Times New Roman" w:hAnsi="Tahoma" w:cs="Tahoma"/>
      <w:b/>
      <w:spacing w:val="-3"/>
      <w:kern w:val="32"/>
      <w:sz w:val="20"/>
      <w:szCs w:val="20"/>
    </w:rPr>
  </w:style>
  <w:style w:type="character" w:styleId="PlaceholderText">
    <w:name w:val="Placeholder Text"/>
    <w:basedOn w:val="DefaultParagraphFont"/>
    <w:uiPriority w:val="99"/>
    <w:semiHidden/>
    <w:rsid w:val="00524554"/>
    <w:rPr>
      <w:color w:val="808080"/>
    </w:rPr>
  </w:style>
  <w:style w:type="paragraph" w:styleId="BalloonText">
    <w:name w:val="Balloon Text"/>
    <w:basedOn w:val="Normal"/>
    <w:link w:val="BalloonTextChar"/>
    <w:uiPriority w:val="99"/>
    <w:semiHidden/>
    <w:unhideWhenUsed/>
    <w:rsid w:val="00172385"/>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172385"/>
    <w:rPr>
      <w:rFonts w:ascii="Segoe UI" w:hAnsi="Segoe UI" w:cs="Segoe UI"/>
      <w:bCs/>
      <w:spacing w:val="-3"/>
      <w:sz w:val="18"/>
      <w:szCs w:val="18"/>
      <w:lang w:val="en-GB"/>
    </w:rPr>
  </w:style>
  <w:style w:type="paragraph" w:styleId="CommentText">
    <w:name w:val="annotation text"/>
    <w:basedOn w:val="Normal"/>
    <w:link w:val="CommentTextChar"/>
    <w:uiPriority w:val="99"/>
    <w:semiHidden/>
    <w:unhideWhenUsed/>
    <w:rsid w:val="00172385"/>
    <w:pPr>
      <w:spacing w:line="240" w:lineRule="auto"/>
    </w:pPr>
    <w:rPr>
      <w:sz w:val="20"/>
      <w:szCs w:val="20"/>
    </w:rPr>
  </w:style>
  <w:style w:type="character" w:customStyle="1" w:styleId="CommentTextChar">
    <w:name w:val="Comment Text Char"/>
    <w:basedOn w:val="DefaultParagraphFont"/>
    <w:link w:val="CommentText"/>
    <w:uiPriority w:val="99"/>
    <w:semiHidden/>
    <w:rsid w:val="00172385"/>
    <w:rPr>
      <w:rFonts w:ascii="Tahoma" w:hAnsi="Tahoma" w:cs="Tahoma"/>
      <w:bCs/>
      <w:spacing w:val="-3"/>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dps.europa.eu/data-protection/our-work/publications/guidelines/accountability-ground-provisional-guidance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PVOFILES1\Corporate%20Templates\1%20-%20Reports\Long%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DC9BE3667644D078B4D4444F2878D33"/>
        <w:category>
          <w:name w:val="General"/>
          <w:gallery w:val="placeholder"/>
        </w:category>
        <w:types>
          <w:type w:val="bbPlcHdr"/>
        </w:types>
        <w:behaviors>
          <w:behavior w:val="content"/>
        </w:behaviors>
        <w:guid w:val="{434E3E37-AFC0-4603-97D2-D4C10F7BD3E1}"/>
      </w:docPartPr>
      <w:docPartBody>
        <w:p w:rsidR="005851DA" w:rsidRDefault="005851DA">
          <w:pPr>
            <w:pStyle w:val="7DC9BE3667644D078B4D4444F2878D33"/>
          </w:pPr>
          <w:r w:rsidRPr="007B056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1DA"/>
    <w:rsid w:val="005851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DC9BE3667644D078B4D4444F2878D33">
    <w:name w:val="7DC9BE3667644D078B4D4444F2878D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XSL" StyleName="Harvard - Exeter Comments" Version="1"/>
</file>

<file path=customXml/itemProps1.xml><?xml version="1.0" encoding="utf-8"?>
<ds:datastoreItem xmlns:ds="http://schemas.openxmlformats.org/officeDocument/2006/customXml" ds:itemID="{BB8303AC-38B6-4086-9916-4BBC50EC2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Report.dotx</Template>
  <TotalTime>11</TotalTime>
  <Pages>11</Pages>
  <Words>3870</Words>
  <Characters>21288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Mariya KOLEVA</dc:creator>
  <cp:keywords/>
  <dc:description/>
  <cp:lastModifiedBy>Anna Verdini</cp:lastModifiedBy>
  <cp:revision>8</cp:revision>
  <dcterms:created xsi:type="dcterms:W3CDTF">2018-12-10T12:39:00Z</dcterms:created>
  <dcterms:modified xsi:type="dcterms:W3CDTF">2018-12-10T12:58:00Z</dcterms:modified>
</cp:coreProperties>
</file>